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Положение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региональном конкурсе 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видеороликов на иностранном языке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«Земля Владимирская-2026. 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Русский мир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 Общие положения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1.1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Настоящее Положение о региональном конкурсе учебно-методических разработок «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Земля Владимирская. Русский мир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» на иностранном языке среди учителей и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обу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ча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ю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щихся общеобразовательных школ и профессиональных образовательных организаций Владимирской области регламентирует условия и порядок его проведения.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1.2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Цели и задачи проведения Конкурса: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-поддержка и поощрение педагогов образовательных организаций, участвующих в реализации проектов по распространению лучших практик преподавания иностранных языков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-развитие творческих способностей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 мотивации об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уча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ю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щихся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 изучению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иностранного языка;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-формирование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банка учебно -методических материалов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соответствии с требованиями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 федеральных государственных образовательных стандартов.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1.3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Организатором Конкурса является  ГАОУ ДПО ВО ВИРО имени Л.И. Новиковой.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2.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Участники конкурса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2.1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Конкурсе могут принять участие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педагогические работники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образовательных организаций Владимирской области, реализующих образовательные программы основного, среднего общего, среднего профессионального и дополнительного образования.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2.2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конкурсе могут принять участие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обучающиеся 5-11 классов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общеобразовательных школ 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и </w:t>
      </w:r>
      <w:r>
        <w:rPr>
          <w:rFonts w:ascii="Times New Roman" w:hAnsi="Times New Roman"/>
          <w:b/>
          <w:bCs/>
          <w:i w:val="0"/>
          <w:iCs w:val="0"/>
          <w:color w:val="000000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истемы среднего профессионального образования.</w:t>
      </w:r>
      <w:r/>
    </w:p>
    <w:p>
      <w:pPr>
        <w:pStyle w:val="608"/>
        <w:jc w:val="both"/>
        <w:spacing w:line="276" w:lineRule="auto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2.3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auto"/>
        </w:rPr>
        <w:t xml:space="preserve">Стоимость  участия в конкурсе составляет 600 рублей для педагогов, 100 рублей для обучающихся. </w:t>
      </w:r>
      <w:r>
        <w:rPr>
          <w:rFonts w:ascii="Times New Roman" w:hAnsi="Times New Roman" w:cs="Arial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 Оплата производится в кассу бухгалтерии ГАОУ ДПО ВО ВИРО имени Л.И. Новиковой или перечислением на расчетный счет ГАОУ ДПО ВО ВИРО имени Л.И. Новиковой до 2 апреля 2026 года (Приложение №1). Чеки об оплате </w:t>
      </w:r>
      <w:r>
        <w:rPr>
          <w:rFonts w:ascii="Times New Roman" w:hAnsi="Times New Roman" w:cs="Arial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необходимо представить</w:t>
      </w:r>
      <w:r>
        <w:rPr>
          <w:rFonts w:ascii="Times New Roman" w:hAnsi="Times New Roman" w:cs="Arial"/>
          <w:b w:val="0"/>
          <w:bCs w:val="0"/>
          <w:color w:val="000000"/>
          <w:sz w:val="28"/>
          <w:szCs w:val="28"/>
          <w:shd w:val="clear" w:color="auto" w:fill="auto"/>
          <w:lang w:eastAsia="en-US"/>
        </w:rPr>
        <w:t xml:space="preserve"> на кафедру гуманитарного образования или прислать по адресу: </w:t>
      </w:r>
      <w:hyperlink r:id="rId9" w:tooltip="mailto:curenckova.e@yandex.ru" w:history="1">
        <w:r>
          <w:rPr>
            <w:rStyle w:val="611"/>
            <w:rFonts w:ascii="Times New Roman" w:hAnsi="Times New Roman" w:cs="Arial"/>
            <w:b w:val="0"/>
            <w:bCs w:val="0"/>
            <w:color w:val="000000"/>
            <w:sz w:val="28"/>
            <w:szCs w:val="28"/>
            <w:shd w:val="clear" w:color="auto" w:fill="auto"/>
            <w:lang w:eastAsia="en-US"/>
          </w:rPr>
          <w:t xml:space="preserve">curenckova.e@yandex.ru</w:t>
        </w:r>
      </w:hyperlink>
      <w:r/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2.4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На конкурс могут быть представлены как индивидуально выполненные работы, так и работы, выполненные авторским коллективом (не более 2-х человек).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2.5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Каждый участник (группа участников) может представить на конкурс не более одного видеоролика.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2.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6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качестве координатора при подготовке видеоработ может выступать 1 руководитель (учитель, родитель, руководитель метод объединения и пр.)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 Номинации конкурса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3.1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Основная конкурсная тематика отражает феномен русского зарубежья в объектах, исторических фактах, явлениях. 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3.2.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Участникам предлагаются следующие номинации:</w:t>
      </w:r>
      <w:r/>
    </w:p>
    <w:p>
      <w:pPr>
        <w:pStyle w:val="608"/>
        <w:numPr>
          <w:ilvl w:val="0"/>
          <w:numId w:val="0"/>
        </w:numPr>
        <w:ind w:left="720" w:firstLine="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- Для педагогов: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представление учебной ситуации, фрагмента урока или внеурочного мероприятия, направленных на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погружение в русское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духовное, культурное и научное наследие, традиционные русские ценности, оставившие русский след в странах зарубежья.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/>
    </w:p>
    <w:p>
      <w:pPr>
        <w:pStyle w:val="608"/>
        <w:numPr>
          <w:ilvl w:val="0"/>
          <w:numId w:val="0"/>
        </w:numPr>
        <w:ind w:left="720" w:firstLine="0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- Для учащихся: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представление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мини—энциклопедий, виртуальных карт туристических маршрутов, виртуальных экскурсий по местам,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которые связаны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 именами русских деятелей науки, искусства, культуры и событиями русской истории. 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4. Требования к конкурсным работам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4.1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 конкурс представляются видеоролики,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создан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ные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в жанре интервью, репортаж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рассказ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видеоклип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, анимаци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и др.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Участие автора в сюжете видеоролика обязательно.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2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Авторы видеороликов могут использовать фото, видео, кинохроники и другие материалы со строгим соблюдением авторских прав третьих лиц.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3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По содержанию видеоролик должен включать в себя информацию о конкретном событии, человеке, месте, а также отражать собственное видение автора при раскрытии темы.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На конкурс не принимаются видеоролики, выходящие за рамки указанной тематики.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1.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5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Присланные на конкурс видеоролики не рецензируются и не возвращаются.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4.2 Технические требования.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4.2.1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Рекомендуемое разрешение – 1280х720рх или 1920x1080рх; формат AVI, MP4 или MOV.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4.2.2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Съемка должна быть горизонтальной.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4.2.3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Продолжительность видеоролика - не более 4 минут для 5-8 классов, не более 8 минут для 9-11 классов, не более 10 минут для педагогов.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4.2.4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Не рекомендуется использование цветокоррекции.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4.2.5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Видеоролик должен иметь:</w:t>
      </w:r>
      <w:r/>
    </w:p>
    <w:p>
      <w:pPr>
        <w:pStyle w:val="608"/>
        <w:numPr>
          <w:ilvl w:val="0"/>
          <w:numId w:val="2"/>
        </w:numPr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заглавный слайд с названием;</w:t>
      </w:r>
      <w:r/>
    </w:p>
    <w:p>
      <w:pPr>
        <w:pStyle w:val="608"/>
        <w:numPr>
          <w:ilvl w:val="0"/>
          <w:numId w:val="2"/>
        </w:numPr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финальные титры с указанием автора (авторов);</w:t>
      </w:r>
      <w:r/>
    </w:p>
    <w:p>
      <w:pPr>
        <w:pStyle w:val="608"/>
        <w:numPr>
          <w:ilvl w:val="0"/>
          <w:numId w:val="2"/>
        </w:numPr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 необходимости музыкальное сопровождение с обязательным указанием автора музыки и текста (предполагается наличие разрешения на использование этих материалов);</w:t>
      </w:r>
      <w:r/>
    </w:p>
    <w:p>
      <w:pPr>
        <w:pStyle w:val="608"/>
        <w:numPr>
          <w:ilvl w:val="0"/>
          <w:numId w:val="2"/>
        </w:numPr>
        <w:jc w:val="both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фото, видео, кинохроники и других материалы военных лет с обязательной ссылкой на источник.</w:t>
      </w:r>
      <w:r/>
    </w:p>
    <w:p>
      <w:pPr>
        <w:pStyle w:val="608"/>
        <w:jc w:val="both"/>
        <w:spacing w:line="276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5. Порядок проведения Конкурса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5.1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Прием конкурсных работ осуществляется в период с 17 февраля по 17 апреля 2026 года.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5.2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Конкурсные работы, загруженные после 17 апреля не проверяются.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5.3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Организатор не несет ответственности за некорректную загрузку ссылки на видео в отчетной таблице, за неверные или неактуальные контактные данные.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1"/>
          <w:sz w:val="28"/>
          <w:szCs w:val="28"/>
          <w:lang w:eastAsia="en-US"/>
        </w:rPr>
        <w:t xml:space="preserve">Активность ссылок на  конкурсные материалов проверяется участником самостоятельно. При наличии неактивных (нерабочих) ссылок представленная работа оцениваться не будет.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5.4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Проверка конкурсных работ  осуществляется в период с 17 по 27 апреля 2026 года.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5.5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Результаты конкурса публикуются с 4 по 8 мая 2026 года.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5.6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Рассылка электронных сертификатов будет осуществляться после 20 мая 2026 года.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5.7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Победителями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конкурса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(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1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3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)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ь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ж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й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ц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признаются работы, получившие наибольшее количество баллов.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5.8 </w:t>
      </w:r>
      <w:r>
        <w:rPr>
          <w:rFonts w:ascii="Times New Roman" w:hAnsi="Times New Roman"/>
          <w:b w:val="0"/>
          <w:i w:val="0"/>
          <w:caps w:val="0"/>
          <w:smallCaps w:val="0"/>
          <w:color w:val="202122"/>
          <w:spacing w:val="0"/>
          <w:sz w:val="28"/>
          <w:szCs w:val="28"/>
        </w:rPr>
        <w:t xml:space="preserve">Участникам конкурса, набравшим не менее 50% от максимального количества баллов, высылаются электронные сертификаты участника.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5.9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Представление материалов на Конкурс рассматривается как согласие их авторов на открытую публикацию. Организационный комитет оставляет за собой право использовать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конкурсные материалы для распространения в профессиональном педагогическом сообществе региона.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6. Жюри Конкурса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6.1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Состав жюри конкурса определяется организатором.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6.2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 состав жюри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х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я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учителя иностранных языков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ы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ш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й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ф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ц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н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й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г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(численность состава жюри не менее 10 человек).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6.3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Жюри проводит экспертизу видеороликов, состоящую из содержательной и технической оценок, и определяет победителя и призеров Конкурса.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ab/>
        <w:t xml:space="preserve">6.4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 Решение жюри является окончательным и апелляции не подлежит.</w:t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r>
      <w:r/>
    </w:p>
    <w:p>
      <w:pPr>
        <w:pStyle w:val="608"/>
        <w:jc w:val="center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7. Критерии оценки конкурсных работ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7.1 Содержательная оценка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видеороликов осуществляется по следующим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 критериям:</w:t>
      </w:r>
      <w:r/>
    </w:p>
    <w:p>
      <w:pPr>
        <w:pStyle w:val="608"/>
        <w:numPr>
          <w:ilvl w:val="0"/>
          <w:numId w:val="3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соответствие работы заявленной теме;</w:t>
      </w:r>
      <w:r/>
    </w:p>
    <w:p>
      <w:pPr>
        <w:pStyle w:val="608"/>
        <w:numPr>
          <w:ilvl w:val="0"/>
          <w:numId w:val="3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аргументированность, глубина раскрытия темы и ясность представления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т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е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р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и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л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;</w:t>
      </w:r>
      <w:r/>
    </w:p>
    <w:p>
      <w:pPr>
        <w:pStyle w:val="608"/>
        <w:numPr>
          <w:ilvl w:val="0"/>
          <w:numId w:val="3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построение и законченность сюжета, информативность;</w:t>
      </w:r>
      <w:r/>
    </w:p>
    <w:p>
      <w:pPr>
        <w:pStyle w:val="608"/>
        <w:numPr>
          <w:ilvl w:val="0"/>
          <w:numId w:val="3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оригинальность, новизна идеи;</w:t>
      </w:r>
      <w:r/>
    </w:p>
    <w:p>
      <w:pPr>
        <w:pStyle w:val="608"/>
        <w:numPr>
          <w:ilvl w:val="0"/>
          <w:numId w:val="3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артистизм автора видеоролика.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7.2 Техническая оценка 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видеороликов осуществляется по следующим </w:t>
      </w: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критериям</w:t>
      </w: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:</w:t>
      </w:r>
      <w:r/>
    </w:p>
    <w:p>
      <w:pPr>
        <w:pStyle w:val="608"/>
        <w:numPr>
          <w:ilvl w:val="0"/>
          <w:numId w:val="4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качество видеосъемки, изображения, звука;</w:t>
      </w:r>
      <w:r/>
    </w:p>
    <w:p>
      <w:pPr>
        <w:pStyle w:val="608"/>
        <w:numPr>
          <w:ilvl w:val="0"/>
          <w:numId w:val="4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уровень владения специальными выразительными средствами;</w:t>
      </w:r>
      <w:r/>
    </w:p>
    <w:p>
      <w:pPr>
        <w:pStyle w:val="608"/>
        <w:numPr>
          <w:ilvl w:val="0"/>
          <w:numId w:val="4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эстетичность работы, общее эмоциональное восприятие;</w:t>
      </w:r>
      <w:r/>
    </w:p>
    <w:p>
      <w:pPr>
        <w:pStyle w:val="608"/>
        <w:numPr>
          <w:ilvl w:val="0"/>
          <w:numId w:val="4"/>
        </w:numPr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mallCaps w:val="0"/>
          <w:color w:val="000000"/>
          <w:spacing w:val="0"/>
          <w:sz w:val="28"/>
          <w:szCs w:val="28"/>
        </w:rPr>
        <w:t xml:space="preserve">соответствие работы заявленным требованиям.</w:t>
      </w:r>
      <w:r/>
    </w:p>
    <w:p>
      <w:pPr>
        <w:pStyle w:val="608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Контакты:</w:t>
      </w:r>
      <w:r/>
    </w:p>
    <w:p>
      <w:pPr>
        <w:pStyle w:val="613"/>
        <w:jc w:val="left"/>
        <w:spacing w:line="276" w:lineRule="auto"/>
      </w:pPr>
      <w:r>
        <w:rPr>
          <w:rFonts w:ascii="Times New Roman" w:hAnsi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Подробную информацию о конкурсе можно получить по контактному телефону (4922) 36-68-80 (Куренкова Елена Аркадьевна), по электронной почте </w:t>
      </w:r>
      <w:hyperlink r:id="rId10" w:tooltip="mailto:curenckova.e@yandex.ru" w:history="1">
        <w:r>
          <w:rPr>
            <w:rStyle w:val="611"/>
            <w:rFonts w:ascii="Times New Roman" w:hAnsi="Times New Roman"/>
            <w:b w:val="0"/>
            <w:bCs/>
            <w:i w:val="0"/>
            <w:caps w:val="0"/>
            <w:smallCaps w:val="0"/>
            <w:color w:val="000080"/>
            <w:spacing w:val="0"/>
            <w:sz w:val="28"/>
            <w:szCs w:val="28"/>
          </w:rPr>
          <w:t xml:space="preserve">curenckova.e@yandex.ru</w:t>
        </w:r>
      </w:hyperlink>
      <w:r/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Приложение №1</w:t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</w:t>
      </w:r>
      <w:r/>
    </w:p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ind w:left="23" w:right="23" w:firstLine="685"/>
        <w:jc w:val="center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РЕКВИЗИТЫ</w:t>
      </w:r>
      <w:r/>
    </w:p>
    <w:p>
      <w:pPr>
        <w:pStyle w:val="608"/>
        <w:ind w:left="23" w:right="23" w:firstLine="685"/>
        <w:jc w:val="center"/>
        <w:widowControl w:val="off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</w:r>
      <w:r/>
    </w:p>
    <w:p>
      <w:pPr>
        <w:pStyle w:val="608"/>
        <w:ind w:left="23" w:right="23" w:firstLine="0"/>
        <w:jc w:val="lef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!!! Обращаем Ваше внимание : в платежном поручении в поле  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«назначение платежа»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необходимо указать  название Конкурса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 xml:space="preserve"> «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Русский мир. Педагоги»»,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en-US"/>
        </w:rPr>
        <w:t xml:space="preserve">«</w:t>
      </w:r>
      <w:r>
        <w:rPr>
          <w:rFonts w:ascii="Times New Roman" w:hAnsi="Times New Roman"/>
          <w:b/>
          <w:sz w:val="28"/>
          <w:szCs w:val="28"/>
          <w:u w:val="single"/>
          <w:lang w:eastAsia="en-US"/>
        </w:rPr>
        <w:t xml:space="preserve">Русский мир. Обучающиеся»»</w:t>
      </w:r>
      <w:r>
        <w:rPr>
          <w:rFonts w:ascii="Times New Roman" w:hAnsi="Times New Roman"/>
          <w:b/>
          <w:sz w:val="28"/>
          <w:szCs w:val="28"/>
          <w:u w:val="none"/>
          <w:lang w:eastAsia="en-US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  <w:u w:val="none"/>
        </w:rPr>
        <w:t xml:space="preserve">для идентификации платежа.</w:t>
      </w:r>
      <w:r/>
    </w:p>
    <w:p>
      <w:pPr>
        <w:pStyle w:val="608"/>
        <w:ind w:left="23" w:right="23" w:firstLine="685"/>
        <w:jc w:val="left"/>
        <w:widowControl w:val="off"/>
        <w:rPr>
          <w:rFonts w:ascii="Times New Roman" w:hAnsi="Times New Roman"/>
          <w:b/>
          <w:bCs/>
          <w:sz w:val="28"/>
          <w:szCs w:val="28"/>
          <w:u w:val="none"/>
        </w:rPr>
      </w:pPr>
      <w:r>
        <w:rPr>
          <w:rFonts w:ascii="Times New Roman" w:hAnsi="Times New Roman"/>
          <w:b/>
          <w:bCs/>
          <w:sz w:val="28"/>
          <w:szCs w:val="28"/>
          <w:u w:val="none"/>
        </w:rPr>
      </w:r>
      <w:r/>
    </w:p>
    <w:p>
      <w:pPr>
        <w:pStyle w:val="608"/>
        <w:ind w:left="0" w:right="0" w:firstLine="0"/>
        <w:spacing w:before="240" w:after="0" w:line="57" w:lineRule="atLeast"/>
        <w:rPr>
          <w:b/>
          <w:bCs/>
        </w:rPr>
      </w:pPr>
      <w:r>
        <w:rPr>
          <w:rFonts w:ascii="Times New Roman" w:hAnsi="Times New Roman" w:cs="Times New Roman" w:eastAsia="Times New Roman"/>
          <w:b/>
          <w:bCs/>
          <w:i/>
          <w:color w:val="000000"/>
          <w:sz w:val="28"/>
          <w:szCs w:val="28"/>
          <w:u w:val="single"/>
        </w:rPr>
        <w:t xml:space="preserve">Полное наименование:</w:t>
      </w:r>
      <w:r/>
    </w:p>
    <w:p>
      <w:pPr>
        <w:pStyle w:val="608"/>
        <w:ind w:left="0" w:right="0" w:firstLine="0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государственное автономное образовательное учреждение дополнительного профессионального образования Владимирской области «Владимирский институт развития образования имени Л.И. Новиковой»</w:t>
      </w:r>
      <w:r/>
    </w:p>
    <w:p>
      <w:pPr>
        <w:pStyle w:val="608"/>
        <w:ind w:left="0" w:right="0" w:firstLine="0"/>
        <w:spacing w:before="240" w:after="0" w:line="57" w:lineRule="atLeast"/>
        <w:rPr>
          <w:b/>
          <w:bCs/>
        </w:rPr>
      </w:pPr>
      <w:r>
        <w:rPr>
          <w:rFonts w:ascii="Times New Roman" w:hAnsi="Times New Roman" w:cs="Times New Roman" w:eastAsia="Times New Roman"/>
          <w:b/>
          <w:bCs/>
          <w:i/>
          <w:color w:val="000000"/>
          <w:sz w:val="28"/>
          <w:szCs w:val="28"/>
          <w:u w:val="single"/>
        </w:rPr>
        <w:t xml:space="preserve">Сокращенное наименование:</w:t>
      </w:r>
      <w:r/>
    </w:p>
    <w:p>
      <w:pPr>
        <w:pStyle w:val="608"/>
        <w:ind w:left="0" w:right="0" w:firstLine="0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color w:val="000000"/>
          <w:sz w:val="28"/>
          <w:szCs w:val="28"/>
        </w:rPr>
        <w:t xml:space="preserve">ГАОУ ДПО ВО ВИРО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i/>
          <w:color w:val="000000"/>
          <w:sz w:val="28"/>
          <w:szCs w:val="28"/>
          <w:u w:val="single"/>
        </w:rPr>
        <w:t xml:space="preserve">Юридический адрес</w:t>
      </w: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 600001, г. Владимир,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пр-кт Ленина, 8А (Тел./факс 36-63-94)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МФ ВО (ГАОУ ДПО ВО ВИРО л/сч. 902U5843000)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ИНН / КПП 3327101387/332701001</w:t>
      </w:r>
      <w:r/>
    </w:p>
    <w:p>
      <w:pPr>
        <w:pStyle w:val="608"/>
        <w:ind w:left="0" w:right="0" w:firstLine="0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Р/С 03224643170000003201 в ОКЦ №1 ВОЛГО-ВЯТСКОЕ ГУ БАНКА РОССИИ//УПРАВЛЕНИЕ ФЕДЕРАЛЬНОГО КАЗНАЧЕЙСТВА ПО НИЖЕГОРОДСКОЙ ОБЛАСТИ</w:t>
      </w:r>
      <w:r/>
    </w:p>
    <w:p>
      <w:pPr>
        <w:pStyle w:val="608"/>
        <w:ind w:left="0" w:right="0" w:firstLine="0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БИК 012202102</w:t>
      </w:r>
      <w:r/>
    </w:p>
    <w:p>
      <w:pPr>
        <w:pStyle w:val="608"/>
        <w:ind w:left="0" w:right="0" w:firstLine="0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к/сч. 40102810745370000024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ОКТМО - 17701000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КБК – 00000000000000000130</w:t>
      </w:r>
      <w:r/>
    </w:p>
    <w:p>
      <w:pPr>
        <w:pStyle w:val="608"/>
        <w:ind w:left="0" w:right="0" w:firstLine="0"/>
        <w:jc w:val="both"/>
        <w:spacing w:before="240" w:after="0" w:line="57" w:lineRule="atLeast"/>
      </w:pPr>
      <w:r>
        <w:rPr>
          <w:rStyle w:val="611"/>
          <w:rFonts w:ascii="Times New Roman" w:hAnsi="Times New Roman" w:cs="Times New Roman" w:eastAsia="Times New Roman"/>
          <w:b w:val="0"/>
          <w:bCs/>
          <w:i w:val="0"/>
          <w:caps w:val="0"/>
          <w:smallCaps w:val="0"/>
          <w:color w:val="000000"/>
          <w:spacing w:val="0"/>
          <w:sz w:val="28"/>
          <w:szCs w:val="28"/>
        </w:rPr>
        <w:t xml:space="preserve">КОД ПОСТУПЛЕНИЯ — ПД</w:t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ind w:left="5670" w:right="-52"/>
        <w:jc w:val="right"/>
        <w:widowControl w:val="off"/>
        <w:rPr>
          <w:lang w:eastAsia="en-US"/>
        </w:rPr>
      </w:pPr>
      <w:r>
        <w:rPr>
          <w:lang w:eastAsia="en-US"/>
        </w:rPr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Приложение №2</w:t>
      </w:r>
      <w:r/>
    </w:p>
    <w:p>
      <w:pPr>
        <w:pStyle w:val="608"/>
        <w:ind w:left="5670" w:right="-52"/>
        <w:jc w:val="right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</w:t>
      </w:r>
      <w:r/>
    </w:p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оценки конкурсных работ</w:t>
      </w:r>
      <w:r/>
    </w:p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tbl>
      <w:tblPr>
        <w:tblW w:w="10429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94"/>
        <w:gridCol w:w="860"/>
        <w:gridCol w:w="1019"/>
        <w:gridCol w:w="1016"/>
        <w:gridCol w:w="1030"/>
        <w:gridCol w:w="1462"/>
        <w:gridCol w:w="1191"/>
        <w:gridCol w:w="1201"/>
        <w:gridCol w:w="1410"/>
        <w:gridCol w:w="8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94" w:type="dxa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60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bidi="ar-SA"/>
              </w:rPr>
              <w:t xml:space="preserve">ФИО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bidi="ar-SA"/>
              </w:rPr>
              <w:t xml:space="preserve">педагога/ обучающегося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9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lang w:val="ru-RU" w:bidi="ar-SA"/>
              </w:rPr>
              <w:t xml:space="preserve">Школа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6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Технический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уровень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30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Содержание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2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Органи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зация содержания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91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Языковое оформление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Художественный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уровень и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оригинальность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(субъективная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оценка)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0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Соблюдение авторского права (1б)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Возможность дессиминации конкурсной работы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(4 б)</w:t>
            </w:r>
            <w:r/>
          </w:p>
        </w:tc>
      </w:tr>
      <w:tr>
        <w:trPr/>
        <w:tc>
          <w:tcPr>
            <w:gridSpan w:val="9"/>
            <w:tcBorders>
              <w:left w:val="single" w:color="000000" w:sz="4" w:space="0"/>
              <w:bottom w:val="single" w:color="000000" w:sz="4" w:space="0"/>
            </w:tcBorders>
            <w:tcW w:w="9583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Всего:</w:t>
            </w:r>
            <w:r/>
          </w:p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bidi="ar-SA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5" w:type="dxa"/>
            <w:textDirection w:val="lrTb"/>
            <w:noWrap w:val="false"/>
          </w:tcPr>
          <w:p>
            <w:pPr>
              <w:pStyle w:val="619"/>
              <w:jc w:val="left"/>
              <w:spacing w:before="0" w:after="0"/>
              <w:widowControl/>
              <w:rPr>
                <w:rFonts w:ascii="Times New Roman" w:hAnsi="Times New Roman"/>
                <w:sz w:val="28"/>
                <w:szCs w:val="28"/>
                <w:lang w:val="ru-RU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bidi="ar-SA"/>
              </w:rPr>
              <w:t xml:space="preserve">(25)</w:t>
            </w:r>
            <w:r/>
          </w:p>
        </w:tc>
      </w:tr>
    </w:tbl>
    <w:p>
      <w:pPr>
        <w:pStyle w:val="6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08"/>
        <w:ind w:left="0" w:right="0" w:firstLine="0"/>
        <w:jc w:val="both"/>
        <w:spacing w:before="240" w:after="0" w:line="5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3"/>
        <w:jc w:val="left"/>
        <w:spacing w:line="276" w:lineRule="auto"/>
        <w:rPr>
          <w:rFonts w:ascii="Times New Roman" w:hAnsi="Times New Roman"/>
          <w:b w:val="0"/>
          <w:bCs/>
          <w:i w:val="0"/>
          <w:caps w:val="0"/>
          <w:smallCaps w:val="0"/>
          <w:color w:val="202122"/>
          <w:spacing w:val="0"/>
          <w:sz w:val="28"/>
          <w:szCs w:val="28"/>
        </w:rPr>
      </w:pPr>
      <w:r>
        <w:rPr>
          <w:rFonts w:ascii="Times New Roman" w:hAnsi="Times New Roman"/>
          <w:b w:val="0"/>
          <w:bCs/>
          <w:i w:val="0"/>
          <w:caps w:val="0"/>
          <w:smallCaps w:val="0"/>
          <w:color w:val="202122"/>
          <w:spacing w:val="0"/>
          <w:sz w:val="28"/>
          <w:szCs w:val="28"/>
        </w:rPr>
      </w:r>
      <w:r/>
    </w:p>
    <w:p>
      <w:pPr>
        <w:pStyle w:val="608"/>
        <w:jc w:val="left"/>
        <w:spacing w:line="276" w:lineRule="auto"/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pPr>
      <w:r>
        <w:rPr>
          <w:rFonts w:ascii="Times New Roman" w:hAnsi="Times New Roman"/>
          <w:b/>
          <w:bCs/>
          <w:i w:val="0"/>
          <w:caps w:val="0"/>
          <w:smallCaps w:val="0"/>
          <w:color w:val="000000"/>
          <w:spacing w:val="0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40102010807070707"/>
  </w:font>
  <w:font w:name="DejaVu Sans">
    <w:panose1 w:val="020B0603030804020204"/>
  </w:font>
  <w:font w:name="Liberation Sans">
    <w:panose1 w:val="020B0604020202020204"/>
  </w:font>
  <w:font w:name="OpenSymbol">
    <w:panose1 w:val="05040102010807070707"/>
  </w:font>
  <w:font w:name="Arial">
    <w:panose1 w:val="020B0604020202020204"/>
  </w:font>
  <w:font w:name="Tahoma">
    <w:panose1 w:val="020B0606030504020204"/>
  </w:font>
  <w:font w:name="Noto Sans">
    <w:panose1 w:val="020B0502040504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440" w:hanging="36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800" w:hanging="360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2160" w:hanging="360"/>
        <w:tabs>
          <w:tab w:val="num" w:pos="216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2520" w:hanging="36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880" w:hanging="360"/>
        <w:tabs>
          <w:tab w:val="num" w:pos="288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3240" w:hanging="360"/>
        <w:tabs>
          <w:tab w:val="num" w:pos="324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3600" w:hanging="360"/>
        <w:tabs>
          <w:tab w:val="num" w:pos="360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 w:hint="default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cs="Symbol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◦"/>
      <w:lvlJc w:val="left"/>
      <w:pPr>
        <w:ind w:left="1080" w:hanging="360"/>
        <w:tabs>
          <w:tab w:val="num" w:pos="1080" w:leader="none"/>
        </w:tabs>
      </w:pPr>
      <w:rPr>
        <w:rFonts w:ascii="OpenSymbol" w:hAnsi="OpenSymbol" w:cs="OpenSymbol" w:hint="default"/>
      </w:rPr>
    </w:lvl>
    <w:lvl w:ilvl="2">
      <w:start w:val="1"/>
      <w:numFmt w:val="bullet"/>
      <w:isLgl w:val="false"/>
      <w:suff w:val="tab"/>
      <w:lvlText w:val="▪"/>
      <w:lvlJc w:val="left"/>
      <w:pPr>
        <w:ind w:left="1440" w:hanging="360"/>
        <w:tabs>
          <w:tab w:val="num" w:pos="1440" w:leader="none"/>
        </w:tabs>
      </w:pPr>
      <w:rPr>
        <w:rFonts w:ascii="OpenSymbol" w:hAnsi="OpenSymbol" w:cs="Open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◦"/>
      <w:lvlJc w:val="left"/>
      <w:pPr>
        <w:ind w:left="2160" w:hanging="360"/>
        <w:tabs>
          <w:tab w:val="num" w:pos="2160" w:leader="none"/>
        </w:tabs>
      </w:pPr>
      <w:rPr>
        <w:rFonts w:ascii="OpenSymbol" w:hAnsi="OpenSymbol" w:cs="OpenSymbol" w:hint="default"/>
      </w:rPr>
    </w:lvl>
    <w:lvl w:ilvl="5">
      <w:start w:val="1"/>
      <w:numFmt w:val="bullet"/>
      <w:isLgl w:val="false"/>
      <w:suff w:val="tab"/>
      <w:lvlText w:val="▪"/>
      <w:lvlJc w:val="left"/>
      <w:pPr>
        <w:ind w:left="2520" w:hanging="360"/>
        <w:tabs>
          <w:tab w:val="num" w:pos="2520" w:leader="none"/>
        </w:tabs>
      </w:pPr>
      <w:rPr>
        <w:rFonts w:ascii="OpenSymbol" w:hAnsi="OpenSymbol" w:cs="Open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◦"/>
      <w:lvlJc w:val="left"/>
      <w:pPr>
        <w:ind w:left="3240" w:hanging="360"/>
        <w:tabs>
          <w:tab w:val="num" w:pos="3240" w:leader="none"/>
        </w:tabs>
      </w:pPr>
      <w:rPr>
        <w:rFonts w:ascii="OpenSymbol" w:hAnsi="OpenSymbol" w:cs="OpenSymbol" w:hint="default"/>
      </w:rPr>
    </w:lvl>
    <w:lvl w:ilvl="8">
      <w:start w:val="1"/>
      <w:numFmt w:val="bullet"/>
      <w:isLgl w:val="false"/>
      <w:suff w:val="tab"/>
      <w:lvlText w:val="▪"/>
      <w:lvlJc w:val="left"/>
      <w:pPr>
        <w:ind w:left="3600" w:hanging="360"/>
        <w:tabs>
          <w:tab w:val="num" w:pos="3600" w:leader="none"/>
        </w:tabs>
      </w:pPr>
      <w:rPr>
        <w:rFonts w:ascii="OpenSymbol" w:hAnsi="OpenSymbol" w:cs="OpenSymbol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Symbol" w:hint="default"/>
      </w:rPr>
    </w:lvl>
    <w:lvl w:ilvl="1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 w:cs="Symbol" w:hint="default"/>
      </w:rPr>
    </w:lvl>
    <w:lvl w:ilvl="2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 w:cs="Symbol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ascii="Symbol" w:hAnsi="Symbol" w:cs="Symbol" w:hint="default"/>
      </w:rPr>
    </w:lvl>
    <w:lvl w:ilvl="4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 w:cs="Symbol" w:hint="default"/>
      </w:rPr>
    </w:lvl>
    <w:lvl w:ilvl="5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 w:cs="Symbol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Symbol" w:hint="default"/>
      </w:rPr>
    </w:lvl>
    <w:lvl w:ilvl="7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 w:cs="Symbol" w:hint="default"/>
      </w:rPr>
    </w:lvl>
    <w:lvl w:ilvl="8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 w:cs="Symbol" w:hint="default"/>
      </w:r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Noto Sans" w:eastAsia="Tahoma" w:hint="default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8"/>
    <w:next w:val="60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8"/>
    <w:next w:val="60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8"/>
    <w:next w:val="60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8"/>
    <w:next w:val="60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8"/>
    <w:next w:val="60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8"/>
    <w:next w:val="60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8"/>
    <w:next w:val="60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8"/>
    <w:next w:val="60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8"/>
    <w:next w:val="60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08"/>
    <w:uiPriority w:val="34"/>
    <w:qFormat/>
    <w:pPr>
      <w:contextualSpacing/>
      <w:ind w:left="720"/>
    </w:pPr>
  </w:style>
  <w:style w:type="paragraph" w:styleId="32">
    <w:name w:val="Title"/>
    <w:basedOn w:val="608"/>
    <w:next w:val="60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608"/>
    <w:next w:val="60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608"/>
    <w:next w:val="60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8"/>
    <w:next w:val="60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60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character" w:styleId="45">
    <w:name w:val="Caption Char"/>
    <w:basedOn w:val="615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60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608"/>
    <w:next w:val="60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8"/>
    <w:next w:val="60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8"/>
    <w:next w:val="60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8"/>
    <w:next w:val="60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8"/>
    <w:next w:val="60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8"/>
    <w:next w:val="60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8"/>
    <w:next w:val="60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8"/>
    <w:next w:val="60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8"/>
    <w:next w:val="60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8"/>
    <w:next w:val="608"/>
    <w:uiPriority w:val="99"/>
    <w:unhideWhenUsed/>
    <w:pPr>
      <w:spacing w:after="0" w:afterAutospacing="0"/>
    </w:pPr>
  </w:style>
  <w:style w:type="paragraph" w:styleId="608" w:default="1">
    <w:name w:val="Normal"/>
    <w:qFormat/>
    <w:pPr>
      <w:jc w:val="left"/>
      <w:spacing w:before="0" w:after="0"/>
      <w:widowControl/>
    </w:pPr>
    <w:rPr>
      <w:rFonts w:ascii="Liberation Serif" w:hAnsi="Liberation Serif" w:cs="Noto Sans" w:eastAsia="Tahoma"/>
      <w:color w:val="auto"/>
      <w:sz w:val="24"/>
      <w:szCs w:val="24"/>
      <w:lang w:val="ru-RU" w:bidi="hi-IN" w:eastAsia="zh-CN"/>
    </w:rPr>
  </w:style>
  <w:style w:type="character" w:styleId="609">
    <w:name w:val="Символ нумерации (user)"/>
    <w:qFormat/>
  </w:style>
  <w:style w:type="character" w:styleId="610">
    <w:name w:val="Маркеры (user)"/>
    <w:qFormat/>
    <w:rPr>
      <w:rFonts w:ascii="OpenSymbol" w:hAnsi="OpenSymbol" w:cs="OpenSymbol" w:eastAsia="OpenSymbol"/>
    </w:rPr>
  </w:style>
  <w:style w:type="character" w:styleId="611">
    <w:name w:val="Hyperlink"/>
    <w:rPr>
      <w:color w:val="000080"/>
      <w:u w:val="single"/>
    </w:rPr>
  </w:style>
  <w:style w:type="paragraph" w:styleId="612">
    <w:name w:val="Заголовок"/>
    <w:basedOn w:val="608"/>
    <w:next w:val="613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613">
    <w:name w:val="Body Text"/>
    <w:basedOn w:val="608"/>
    <w:pPr>
      <w:spacing w:before="0" w:after="140" w:line="276" w:lineRule="auto"/>
    </w:pPr>
  </w:style>
  <w:style w:type="paragraph" w:styleId="614">
    <w:name w:val="List"/>
    <w:basedOn w:val="613"/>
    <w:rPr>
      <w:rFonts w:cs="Noto Sans"/>
    </w:rPr>
  </w:style>
  <w:style w:type="paragraph" w:styleId="615">
    <w:name w:val="Caption"/>
    <w:basedOn w:val="608"/>
    <w:qFormat/>
    <w:pPr>
      <w:spacing w:before="120" w:after="120"/>
      <w:suppressLineNumbers/>
    </w:pPr>
    <w:rPr>
      <w:rFonts w:cs="Noto Sans"/>
      <w:i/>
      <w:iCs/>
      <w:sz w:val="24"/>
      <w:szCs w:val="24"/>
    </w:rPr>
  </w:style>
  <w:style w:type="paragraph" w:styleId="616">
    <w:name w:val="Указатель"/>
    <w:basedOn w:val="608"/>
    <w:qFormat/>
    <w:pPr>
      <w:suppressLineNumbers/>
    </w:pPr>
    <w:rPr>
      <w:rFonts w:cs="Noto Sans"/>
    </w:rPr>
  </w:style>
  <w:style w:type="paragraph" w:styleId="617">
    <w:name w:val="Заголовок (user)"/>
    <w:basedOn w:val="608"/>
    <w:next w:val="613"/>
    <w:qFormat/>
    <w:pPr>
      <w:keepNext/>
      <w:spacing w:before="240" w:after="120"/>
    </w:pPr>
    <w:rPr>
      <w:rFonts w:ascii="Liberation Sans" w:hAnsi="Liberation Sans" w:cs="Noto Sans" w:eastAsia="Tahoma"/>
      <w:sz w:val="28"/>
      <w:szCs w:val="28"/>
    </w:rPr>
  </w:style>
  <w:style w:type="paragraph" w:styleId="618">
    <w:name w:val="Указатель (user)"/>
    <w:basedOn w:val="608"/>
    <w:qFormat/>
    <w:pPr>
      <w:suppressLineNumbers/>
    </w:pPr>
    <w:rPr>
      <w:rFonts w:cs="Noto Sans"/>
    </w:rPr>
  </w:style>
  <w:style w:type="paragraph" w:styleId="619">
    <w:name w:val="No Spacing"/>
    <w:qFormat/>
    <w:pPr>
      <w:jc w:val="left"/>
      <w:spacing w:before="0" w:after="0" w:line="240" w:lineRule="auto"/>
      <w:widowControl/>
    </w:pPr>
    <w:rPr>
      <w:rFonts w:ascii="Liberation Serif" w:hAnsi="Liberation Serif" w:cs="Noto Sans" w:eastAsia="DejaVu Sans" w:eastAsiaTheme="minorEastAsia"/>
      <w:color w:val="auto"/>
      <w:sz w:val="24"/>
      <w:szCs w:val="24"/>
      <w:lang w:val="ru-RU" w:bidi="hi-IN" w:eastAsia="ru-RU"/>
    </w:rPr>
  </w:style>
  <w:style w:type="paragraph" w:styleId="620">
    <w:name w:val="Содержимое таблицы"/>
    <w:basedOn w:val="608"/>
    <w:qFormat/>
    <w:pPr>
      <w:widowControl w:val="off"/>
      <w:suppressLineNumbers/>
    </w:pPr>
  </w:style>
  <w:style w:type="character" w:styleId="1532" w:default="1">
    <w:name w:val="Default Paragraph Font"/>
    <w:uiPriority w:val="1"/>
    <w:semiHidden/>
    <w:unhideWhenUsed/>
  </w:style>
  <w:style w:type="numbering" w:styleId="1533" w:default="1">
    <w:name w:val="No List"/>
    <w:uiPriority w:val="99"/>
    <w:semiHidden/>
    <w:unhideWhenUsed/>
  </w:style>
  <w:style w:type="table" w:styleId="15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curenckova.e@yandex.ru" TargetMode="External"/><Relationship Id="rId10" Type="http://schemas.openxmlformats.org/officeDocument/2006/relationships/hyperlink" Target="mailto:curenckova.e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14</cp:revision>
  <dcterms:created xsi:type="dcterms:W3CDTF">2025-01-20T12:54:51Z</dcterms:created>
  <dcterms:modified xsi:type="dcterms:W3CDTF">2026-03-24T10:09:02Z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