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Правительства РФ от 21.05.2025 N 1264-р</w:t>
              <w:br/>
              <w:t xml:space="preserve">&lt;Об утверждении Концепции развития наставничества в Российской Федерации на период до 2030 года и плана мероприятий по ее реализации&gt;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13.08.2026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21 мая 2025 г. N 1264-р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Утвердить прилагаемые:</w:t>
      </w:r>
    </w:p>
    <w:p>
      <w:pPr>
        <w:pStyle w:val="0"/>
        <w:spacing w:before="240" w:lineRule="auto"/>
        <w:ind w:firstLine="540"/>
        <w:jc w:val="both"/>
      </w:pPr>
      <w:hyperlink w:history="0" w:anchor="P28" w:tooltip="КОНЦЕПЦИЯ">
        <w:r>
          <w:rPr>
            <w:sz w:val="24"/>
            <w:color w:val="0000ff"/>
          </w:rPr>
          <w:t xml:space="preserve">Концепцию</w:t>
        </w:r>
      </w:hyperlink>
      <w:r>
        <w:rPr>
          <w:sz w:val="24"/>
        </w:rPr>
        <w:t xml:space="preserve"> развития наставничества в Российской Федерации на период до 2030 года (далее - Концепция);</w:t>
      </w:r>
    </w:p>
    <w:p>
      <w:pPr>
        <w:pStyle w:val="0"/>
        <w:spacing w:before="240" w:lineRule="auto"/>
        <w:ind w:firstLine="540"/>
        <w:jc w:val="both"/>
      </w:pPr>
      <w:hyperlink w:history="0" w:anchor="P153" w:tooltip="ПЛАН">
        <w:r>
          <w:rPr>
            <w:sz w:val="24"/>
            <w:color w:val="0000ff"/>
          </w:rPr>
          <w:t xml:space="preserve">план</w:t>
        </w:r>
      </w:hyperlink>
      <w:r>
        <w:rPr>
          <w:sz w:val="24"/>
        </w:rPr>
        <w:t xml:space="preserve"> мероприятий по реализации Концепции развития наставничества в Российской Федерации на период до 2030 года (далее - план мероприятий).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Заинтересованным федеральным органам исполнительной власти, участвующим в реализации </w:t>
      </w:r>
      <w:hyperlink w:history="0" w:anchor="P153" w:tooltip="ПЛАН">
        <w:r>
          <w:rPr>
            <w:sz w:val="24"/>
            <w:color w:val="0000ff"/>
          </w:rPr>
          <w:t xml:space="preserve">плана</w:t>
        </w:r>
      </w:hyperlink>
      <w:r>
        <w:rPr>
          <w:sz w:val="24"/>
        </w:rPr>
        <w:t xml:space="preserve"> мероприятий: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обеспечить реализацию </w:t>
      </w:r>
      <w:hyperlink w:history="0" w:anchor="P28" w:tooltip="КОНЦЕПЦИЯ">
        <w:r>
          <w:rPr>
            <w:sz w:val="24"/>
            <w:color w:val="0000ff"/>
          </w:rPr>
          <w:t xml:space="preserve">Концепции</w:t>
        </w:r>
      </w:hyperlink>
      <w:r>
        <w:rPr>
          <w:sz w:val="24"/>
        </w:rPr>
        <w:t xml:space="preserve"> и </w:t>
      </w:r>
      <w:hyperlink w:history="0" w:anchor="P153" w:tooltip="ПЛАН">
        <w:r>
          <w:rPr>
            <w:sz w:val="24"/>
            <w:color w:val="0000ff"/>
          </w:rPr>
          <w:t xml:space="preserve">плана</w:t>
        </w:r>
      </w:hyperlink>
      <w:r>
        <w:rPr>
          <w:sz w:val="24"/>
        </w:rPr>
        <w:t xml:space="preserve"> мероприятий в пределах бюджетных ассигнований, предусмотренных федеральным органам исполнительной власти в федеральном бюджете на соответствующий финансовый год и плановый период;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ежегодно, до 1 марта года, следующего за отчетным годом, представлять в Минпросвещения России отчеты о ходе реализации </w:t>
      </w:r>
      <w:hyperlink w:history="0" w:anchor="P153" w:tooltip="ПЛАН">
        <w:r>
          <w:rPr>
            <w:sz w:val="24"/>
            <w:color w:val="0000ff"/>
          </w:rPr>
          <w:t xml:space="preserve">плана</w:t>
        </w:r>
      </w:hyperlink>
      <w:r>
        <w:rPr>
          <w:sz w:val="24"/>
        </w:rPr>
        <w:t xml:space="preserve"> мероприятий.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Минпросвещения России осуществлять координацию деятельности по выполнению </w:t>
      </w:r>
      <w:hyperlink w:history="0" w:anchor="P153" w:tooltip="ПЛАН">
        <w:r>
          <w:rPr>
            <w:sz w:val="24"/>
            <w:color w:val="0000ff"/>
          </w:rPr>
          <w:t xml:space="preserve">плана</w:t>
        </w:r>
      </w:hyperlink>
      <w:r>
        <w:rPr>
          <w:sz w:val="24"/>
        </w:rPr>
        <w:t xml:space="preserve"> мероприятий и контроль за ходом его реализации.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Рекомендовать органам государственной власти субъектов Российской Федерации и органам местного самоуправления руководствоваться положениями </w:t>
      </w:r>
      <w:hyperlink w:history="0" w:anchor="P28" w:tooltip="КОНЦЕПЦИЯ">
        <w:r>
          <w:rPr>
            <w:sz w:val="24"/>
            <w:color w:val="0000ff"/>
          </w:rPr>
          <w:t xml:space="preserve">Концепции</w:t>
        </w:r>
      </w:hyperlink>
      <w:r>
        <w:rPr>
          <w:sz w:val="24"/>
        </w:rPr>
        <w:t xml:space="preserve"> при принятии в пределах своей компетенции решений в сфере развития наставничества.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Утверждена</w:t>
      </w:r>
    </w:p>
    <w:p>
      <w:pPr>
        <w:pStyle w:val="0"/>
        <w:jc w:val="right"/>
      </w:pPr>
      <w:r>
        <w:rPr>
          <w:sz w:val="24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21 мая 2025 г. N 1264-р</w:t>
      </w:r>
    </w:p>
    <w:p>
      <w:pPr>
        <w:pStyle w:val="0"/>
        <w:jc w:val="center"/>
      </w:pPr>
      <w:r>
        <w:rPr>
          <w:sz w:val="24"/>
        </w:rPr>
      </w:r>
    </w:p>
    <w:bookmarkStart w:id="28" w:name="P28"/>
    <w:bookmarkEnd w:id="28"/>
    <w:p>
      <w:pPr>
        <w:pStyle w:val="2"/>
        <w:jc w:val="center"/>
      </w:pPr>
      <w:r>
        <w:rPr>
          <w:sz w:val="24"/>
        </w:rPr>
        <w:t xml:space="preserve">КОНЦЕПЦИЯ</w:t>
      </w:r>
    </w:p>
    <w:p>
      <w:pPr>
        <w:pStyle w:val="2"/>
        <w:jc w:val="center"/>
      </w:pPr>
      <w:r>
        <w:rPr>
          <w:sz w:val="24"/>
        </w:rPr>
        <w:t xml:space="preserve">РАЗВИТИЯ НАСТАВНИЧЕСТВА В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НА ПЕРИОД ДО 2030 ГОДА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Настоящая Концепция является документом планирования, определяющим цели, задачи и приоритетные направления развития наставничества на период до 2030 года в соответствии с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Настоящая Концепция разработана во исполнение </w:t>
      </w:r>
      <w:hyperlink w:history="0" r:id="rId8" w:tooltip="&quot;Перечень поручений по итогам заседания Государственного Совета&quot; (утв. Президентом РФ 12.02.2024 N Пр-251ГС) {КонсультантПлюс}">
        <w:r>
          <w:rPr>
            <w:sz w:val="24"/>
            <w:color w:val="0000ff"/>
          </w:rPr>
          <w:t xml:space="preserve">подпункта "а" пункта 1</w:t>
        </w:r>
      </w:hyperlink>
      <w:r>
        <w:rPr>
          <w:sz w:val="24"/>
        </w:rPr>
        <w:t xml:space="preserve"> перечня поручений Президента Российской Федерации по итогам заседания Государственного Совета Российской Федерации по вопросу повышения роли и престижа педагога и наставника 27 декабря 2023 г. (N Пр-251ГС от 12 февраля 2024 г.), а также с учетом: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Трудового </w:t>
      </w:r>
      <w:hyperlink w:history="0" r:id="rId9" w:tooltip="&quot;Трудовой кодекс Российской Федерации&quot; от 30.12.2001 N 197-ФЗ (ред. от 29.12.2025, с изм. от 15.05.2026) {КонсультантПлюс}">
        <w:r>
          <w:rPr>
            <w:sz w:val="24"/>
            <w:color w:val="0000ff"/>
          </w:rPr>
          <w:t xml:space="preserve">кодекса</w:t>
        </w:r>
      </w:hyperlink>
      <w:r>
        <w:rPr>
          <w:sz w:val="24"/>
        </w:rPr>
        <w:t xml:space="preserve">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Гражданского </w:t>
      </w:r>
      <w:hyperlink w:history="0" r:id="rId10" w:tooltip="&quot;Гражданский кодекс Российской Федерации (часть первая)&quot; от 30.11.1994 N 51-ФЗ (ред. от 10.06.2026) {КонсультантПлюс}">
        <w:r>
          <w:rPr>
            <w:sz w:val="24"/>
            <w:color w:val="0000ff"/>
          </w:rPr>
          <w:t xml:space="preserve">кодекса</w:t>
        </w:r>
      </w:hyperlink>
      <w:r>
        <w:rPr>
          <w:sz w:val="24"/>
        </w:rPr>
        <w:t xml:space="preserve">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федеральных законов </w:t>
      </w:r>
      <w:hyperlink w:history="0" r:id="rId11" w:tooltip="Федеральный закон от 19.05.1995 N 82-ФЗ (ред. от 20.02.2026) &quot;Об общественных объединениях&quot; {КонсультантПлюс}">
        <w:r>
          <w:rPr>
            <w:sz w:val="24"/>
            <w:color w:val="0000ff"/>
          </w:rPr>
          <w:t xml:space="preserve">"Об общественных объединениях"</w:t>
        </w:r>
      </w:hyperlink>
      <w:r>
        <w:rPr>
          <w:sz w:val="24"/>
        </w:rPr>
        <w:t xml:space="preserve">, "</w:t>
      </w:r>
      <w:hyperlink w:history="0" r:id="rId12" w:tooltip="Федеральный закон от 11.08.1995 N 135-ФЗ (ред. от 04.08.2026) &quot;О благотворительной деятельности и добровольчестве (волонтерстве)&quot; (с изм. и доп., вступ. в силу с 06.08.2026) {КонсультантПлюс}">
        <w:r>
          <w:rPr>
            <w:sz w:val="24"/>
            <w:color w:val="0000ff"/>
          </w:rPr>
          <w:t xml:space="preserve">О благотворительной деятельности</w:t>
        </w:r>
      </w:hyperlink>
      <w:r>
        <w:rPr>
          <w:sz w:val="24"/>
        </w:rPr>
        <w:t xml:space="preserve"> и добровольчестве (волонтерстве)", "</w:t>
      </w:r>
      <w:hyperlink w:history="0" r:id="rId13" w:tooltip="Федеральный закон от 21.12.1996 N 159-ФЗ (ред. от 04.08.2026) &quot;О дополнительных гарантиях по социальной поддержке детей-сирот и детей, оставшихся без попечения родителей&quot; {КонсультантПлюс}">
        <w:r>
          <w:rPr>
            <w:sz w:val="24"/>
            <w:color w:val="0000ff"/>
          </w:rPr>
          <w:t xml:space="preserve">О дополнительных гарантиях</w:t>
        </w:r>
      </w:hyperlink>
      <w:r>
        <w:rPr>
          <w:sz w:val="24"/>
        </w:rPr>
        <w:t xml:space="preserve"> по социальной поддержке детей-сирот и детей, оставшихся без попечения родителей", "</w:t>
      </w:r>
      <w:hyperlink w:history="0" r:id="rId14" w:tooltip="Федеральный закон от 24.07.1998 N 124-ФЗ (ред. от 20.02.2026) &quot;Об основных гарантиях прав ребенка в Российской Федерации&quot; {КонсультантПлюс}">
        <w:r>
          <w:rPr>
            <w:sz w:val="24"/>
            <w:color w:val="0000ff"/>
          </w:rPr>
          <w:t xml:space="preserve">Об основных гарантиях</w:t>
        </w:r>
      </w:hyperlink>
      <w:r>
        <w:rPr>
          <w:sz w:val="24"/>
        </w:rPr>
        <w:t xml:space="preserve"> прав ребенка в Российской Федерации", "</w:t>
      </w:r>
      <w:hyperlink w:history="0" r:id="rId15" w:tooltip="Федеральный закон от 30.12.2020 N 489-ФЗ (ред. от 04.08.2026) &quot;О молодежной политике в Российской Федерации&quot; {КонсультантПлюс}">
        <w:r>
          <w:rPr>
            <w:sz w:val="24"/>
            <w:color w:val="0000ff"/>
          </w:rPr>
          <w:t xml:space="preserve">О молодежной политике</w:t>
        </w:r>
      </w:hyperlink>
      <w:r>
        <w:rPr>
          <w:sz w:val="24"/>
        </w:rPr>
        <w:t xml:space="preserve"> в Российской Федерации", "</w:t>
      </w:r>
      <w:hyperlink w:history="0" r:id="rId16" w:tooltip="Федеральный закон от 24.06.1999 N 120-ФЗ (ред. от 04.08.2026) &quot;Об основах системы профилактики безнадзорности и правонарушений несовершеннолетних&quot; {КонсультантПлюс}">
        <w:r>
          <w:rPr>
            <w:sz w:val="24"/>
            <w:color w:val="0000ff"/>
          </w:rPr>
          <w:t xml:space="preserve">Об основах системы</w:t>
        </w:r>
      </w:hyperlink>
      <w:r>
        <w:rPr>
          <w:sz w:val="24"/>
        </w:rPr>
        <w:t xml:space="preserve"> профилактики безнадзорности и правонарушений несовершеннолетних", "</w:t>
      </w:r>
      <w:hyperlink w:history="0" r:id="rId17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sz w:val="24"/>
            <w:color w:val="0000ff"/>
          </w:rPr>
          <w:t xml:space="preserve">О развитии малого и среднего</w:t>
        </w:r>
      </w:hyperlink>
      <w:r>
        <w:rPr>
          <w:sz w:val="24"/>
        </w:rPr>
        <w:t xml:space="preserve"> предпринимательства в Российской Федерации", </w:t>
      </w:r>
      <w:hyperlink w:history="0" r:id="rId18" w:tooltip="Федеральный закон от 01.12.2007 N 315-ФЗ (ред. от 31.07.2025) &quot;О саморегулируемых организациях&quot; {КонсультантПлюс}">
        <w:r>
          <w:rPr>
            <w:sz w:val="24"/>
            <w:color w:val="0000ff"/>
          </w:rPr>
          <w:t xml:space="preserve">"О саморегулируемых организациях"</w:t>
        </w:r>
      </w:hyperlink>
      <w:r>
        <w:rPr>
          <w:sz w:val="24"/>
        </w:rPr>
        <w:t xml:space="preserve">, "</w:t>
      </w:r>
      <w:hyperlink w:history="0" r:id="rId19" w:tooltip="Федеральный закон от 29.12.2012 N 273-ФЗ (ред. от 04.08.2026) &quot;Об образовании в Российской Федерации&quot; {КонсультантПлюс}">
        <w:r>
          <w:rPr>
            <w:sz w:val="24"/>
            <w:color w:val="0000ff"/>
          </w:rPr>
          <w:t xml:space="preserve">Об образовании</w:t>
        </w:r>
      </w:hyperlink>
      <w:r>
        <w:rPr>
          <w:sz w:val="24"/>
        </w:rPr>
        <w:t xml:space="preserve"> в Российской Федерации", "</w:t>
      </w:r>
      <w:hyperlink w:history="0" r:id="rId20" w:tooltip="Федеральный закон от 14.07.2022 N 261-ФЗ (ред. от 04.08.2026) &quot;О российском движении детей и молодежи&quot; {КонсультантПлюс}">
        <w:r>
          <w:rPr>
            <w:sz w:val="24"/>
            <w:color w:val="0000ff"/>
          </w:rPr>
          <w:t xml:space="preserve">О российском движении</w:t>
        </w:r>
      </w:hyperlink>
      <w:r>
        <w:rPr>
          <w:sz w:val="24"/>
        </w:rPr>
        <w:t xml:space="preserve"> детей и молодежи", "</w:t>
      </w:r>
      <w:hyperlink w:history="0" r:id="rId21" w:tooltip="Федеральный закон от 12.12.2023 N 565-ФЗ (ред. от 28.11.2025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О занятости населения</w:t>
        </w:r>
      </w:hyperlink>
      <w:r>
        <w:rPr>
          <w:sz w:val="24"/>
        </w:rPr>
        <w:t xml:space="preserve"> в Российской Федерации", </w:t>
      </w:r>
      <w:hyperlink w:history="0" r:id="rId22" w:tooltip="Федеральный закон от 12.01.1996 N 7-ФЗ (ред. от 20.02.2026) &quot;О некоммерческих организациях&quot; {КонсультантПлюс}">
        <w:r>
          <w:rPr>
            <w:sz w:val="24"/>
            <w:color w:val="0000ff"/>
          </w:rPr>
          <w:t xml:space="preserve">"О некоммерческих организациях"</w:t>
        </w:r>
      </w:hyperlink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указов Президента Российской Федерации от 24 декабря 2014 г. </w:t>
      </w:r>
      <w:hyperlink w:history="0" r:id="rId23" w:tooltip="Указ Президента РФ от 24.12.2014 N 808 (ред. от 17.07.2025) &quot;Об утверждении Основ государственной культурной политики&quot; {КонсультантПлюс}">
        <w:r>
          <w:rPr>
            <w:sz w:val="24"/>
            <w:color w:val="0000ff"/>
          </w:rPr>
          <w:t xml:space="preserve">N 808</w:t>
        </w:r>
      </w:hyperlink>
      <w:r>
        <w:rPr>
          <w:sz w:val="24"/>
        </w:rPr>
        <w:t xml:space="preserve"> "Об утверждении Основ государственной культурной политики", от 2 марта 2018 г. </w:t>
      </w:r>
      <w:hyperlink w:history="0" r:id="rId24" w:tooltip="Указ Президента РФ от 02.03.2018 N 94 (ред. от 19.11.2021) &quot;Об учреждении знака отличия &quot;За наставничество&quot; (вместе с &quot;Положением о знаке отличия &quot;За наставничество&quot;) {КонсультантПлюс}">
        <w:r>
          <w:rPr>
            <w:sz w:val="24"/>
            <w:color w:val="0000ff"/>
          </w:rPr>
          <w:t xml:space="preserve">N 94</w:t>
        </w:r>
      </w:hyperlink>
      <w:r>
        <w:rPr>
          <w:sz w:val="24"/>
        </w:rPr>
        <w:t xml:space="preserve"> "Об учреждении знака отличия "За наставничество", от 9 ноября 2022 г. </w:t>
      </w:r>
      <w:hyperlink w:history="0" r:id="rId25" w:tooltip="Указ Президента РФ от 09.11.2022 N 809 (ред. от 04.03.2026)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sz w:val="24"/>
            <w:color w:val="0000ff"/>
          </w:rPr>
          <w:t xml:space="preserve">N 809</w:t>
        </w:r>
      </w:hyperlink>
      <w:r>
        <w:rPr>
          <w:sz w:val="24"/>
        </w:rPr>
        <w:t xml:space="preserve"> "Об утверждении Основ государственной политики по сохранению и укреплению традиционных российских духовно-нравственных ценностей", от 28 февраля 2024 г. </w:t>
      </w:r>
      <w:hyperlink w:history="0" r:id="rId26" w:tooltip="Указ Президента РФ от 28.02.2024 N 145 &quot;О Стратегии научно-технологического развития Российской Федерации&quot; {КонсультантПлюс}">
        <w:r>
          <w:rPr>
            <w:sz w:val="24"/>
            <w:color w:val="0000ff"/>
          </w:rPr>
          <w:t xml:space="preserve">N 145</w:t>
        </w:r>
      </w:hyperlink>
      <w:r>
        <w:rPr>
          <w:sz w:val="24"/>
        </w:rPr>
        <w:t xml:space="preserve"> "О Стратегии научно-технологического развития Российской Федерации", от 7 мая 2024 г. </w:t>
      </w:r>
      <w:hyperlink w:history="0" r:id="rId27" w:tooltip="Указ Президента РФ от 07.05.2024 N 309 &quot;О национальных целях развития Российской Федерации на период до 2030 года и на перспективу до 2036 года&quot; {КонсультантПлюс}">
        <w:r>
          <w:rPr>
            <w:sz w:val="24"/>
            <w:color w:val="0000ff"/>
          </w:rPr>
          <w:t xml:space="preserve">N 309</w:t>
        </w:r>
      </w:hyperlink>
      <w:r>
        <w:rPr>
          <w:sz w:val="24"/>
        </w:rPr>
        <w:t xml:space="preserve"> "О национальных целях развития Российской Федерации на период до 2030 года и на перспективу до 2036 года";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постановлений Правительства Российской Федерации от 26 декабря 2017 г. </w:t>
      </w:r>
      <w:hyperlink w:history="0" r:id="rId28" w:tooltip="Постановление Правительства РФ от 26.12.2017 N 1642 (ред. от 17.12.2025) &quot;Об утверждении государственной программы Российской Федерации &quot;Развитие образования&quot; (с изм. и доп., вступ. в силу с 01.01.2026) {КонсультантПлюс}">
        <w:r>
          <w:rPr>
            <w:sz w:val="24"/>
            <w:color w:val="0000ff"/>
          </w:rPr>
          <w:t xml:space="preserve">N 1642</w:t>
        </w:r>
      </w:hyperlink>
      <w:r>
        <w:rPr>
          <w:sz w:val="24"/>
        </w:rPr>
        <w:t xml:space="preserve"> "Об утверждении государственной программы Российской Федерации "Развитие образования", от 7 октября 2019 г. </w:t>
      </w:r>
      <w:hyperlink w:history="0" r:id="rId29" w:tooltip="Постановление Правительства РФ от 07.10.2019 N 1296 &quot;Об утверждении Положения о наставничестве на государственной гражданской службе Российской Федерации&quot; {КонсультантПлюс}">
        <w:r>
          <w:rPr>
            <w:sz w:val="24"/>
            <w:color w:val="0000ff"/>
          </w:rPr>
          <w:t xml:space="preserve">N 1296</w:t>
        </w:r>
      </w:hyperlink>
      <w:r>
        <w:rPr>
          <w:sz w:val="24"/>
        </w:rPr>
        <w:t xml:space="preserve"> "Об утверждении Положения о наставничестве на государственной гражданской службе Российской Федерации";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распоряжений Правительства Российской Федерации от 14 декабря 2021 г. </w:t>
      </w:r>
      <w:hyperlink w:history="0" r:id="rId30" w:tooltip="Распоряжение Правительства РФ от 14.12.2021 N 3581-р (ред. от 17.01.2024) &lt;Об утверждении Долгосрочной программы содействия занятости молодежи на период до 2030 года&gt; {КонсультантПлюс}">
        <w:r>
          <w:rPr>
            <w:sz w:val="24"/>
            <w:color w:val="0000ff"/>
          </w:rPr>
          <w:t xml:space="preserve">N 3581-р</w:t>
        </w:r>
      </w:hyperlink>
      <w:r>
        <w:rPr>
          <w:sz w:val="24"/>
        </w:rPr>
        <w:t xml:space="preserve">, от 1 июля 2024 г. </w:t>
      </w:r>
      <w:hyperlink w:history="0" r:id="rId31" w:tooltip="Распоряжение Правительства РФ от 01.07.2024 N 1734-р (ред. от 14.11.2025) &lt;Об утверждении Плана мероприятий по реализации в 2024 - 2026 годах Основ государственной политики по сохранению и укреплению традиционных российских духовно-нравственных ценностей&gt; {КонсультантПлюс}">
        <w:r>
          <w:rPr>
            <w:sz w:val="24"/>
            <w:color w:val="0000ff"/>
          </w:rPr>
          <w:t xml:space="preserve">N 1734-р</w:t>
        </w:r>
      </w:hyperlink>
      <w:r>
        <w:rPr>
          <w:sz w:val="24"/>
        </w:rPr>
        <w:t xml:space="preserve">, от 11 сентября 2024 г. </w:t>
      </w:r>
      <w:hyperlink w:history="0" r:id="rId32" w:tooltip="Распоряжение Правительства РФ от 11.09.2024 N 2501-р (ред. от 30.04.2026) &lt;Об утверждении Стратегии государственной культурной политики на период до 2030 года&gt; {КонсультантПлюс}">
        <w:r>
          <w:rPr>
            <w:sz w:val="24"/>
            <w:color w:val="0000ff"/>
          </w:rPr>
          <w:t xml:space="preserve">N 2501-р</w:t>
        </w:r>
      </w:hyperlink>
      <w:r>
        <w:rPr>
          <w:sz w:val="24"/>
        </w:rPr>
        <w:t xml:space="preserve">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Цель и задачи настоящей Концепции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Настоящая Концепция разработана в целях определения государственной политики развития наставничества в Российской Федерации на период до 2030 года.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Задачами настоящей Концепции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определение единой терминологии в сфере наставничества в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обобщение реализуемых в Российской Федерации наставнических практик;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единых подходов к реализации наставничества в Российской Федерации в соответствии с целями и задачами экономического и социального развития общества;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механизмов деятельности федеральных органов исполнительной власти, исполнительных органов субъектов Российской Федерации, органов местного самоуправления, субъектов экономической деятельности, организаций, осуществляющих образовательную деятельность, и организаций социальной сферы, направленной на развитие наставничества в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настоящей Концепции используются следующие понятия: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"наставничество" - социально-педагогическая технология сопровождения личностного и профессионального развития человека, формирования у него традиционных российских духовно-нравственных ценностей;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"наставник" - носитель значимого опыта, традиционных российских духовно-нравственных ценностей, осуществляющий наставничество в отношении наставляемого;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"наставляемый" - человек, в отношении которого осуществляется наставничество;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"молодежный и детско-взрослый коллектив" - сообщество обучающихся и работников отдельной организации, осуществляющей образовательную деятельность, совокупность членов и участников детских и молодежных общественных объединений, участников Общероссийского общественно-государственного движения детей и молодежи "Движение первых", совокупность участников иных форм и видов коллективов, создание которых не противоречит нормам законодательства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понятия, используемые в настоящей Концепции, употребляются в значениях, определенных нормативными правовыми актами Российской Федерации.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Цель, задачи и формы наставничества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Целью наставничества является развитие личности наставляемого, формирование у него трудолюбия, ответственного отношения к труду и его результатам, передача знаний, умений, навыков, формирование у наставляемого позитивного отношения и приверженности традиционным ценностям многонационального российского народа,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Наставничество является институтом развития гражданского общества и направлено на развитие его человеческого капитала.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Настоящая Концепция описывает подходы к организации и реализации наставничества в молодежном и детско-взрослом коллективе и в сфере труда, а также к реализации иных видов наставничества, которые предполагают регулирование отдельными нормативными правовыми или локальными актами.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 задачам наставничества относятся: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условий для самоопределения и социализации наставляемого на основе традиционных российских духовно-нравственных ценностей, формирования гармоничной, всесторонне развитой личности;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выявление и актуализация у наставляемого устойчивой внутренней мотивации к созидательной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непрерывная поддержка наставляемого в процессе получения им новых компетенций, в том числе профессиональной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условий освоения деятельности, направленных на формирование самостоятельности и ответственности наставляемого;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как у наставляемых, так и у наставников уровня удовлетворенности своей деятельностью;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условий для привлечения в качестве наставников и наставляемых ветеранов боевых действий, в том числе лиц, принимавших участие в специальной военной операции.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Наставничество реализуется в следующих формах: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индивидуальная форма ("наставник - наставляемый");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коллективная форма ("наставник - коллектив наставляемых", "коллектив наставников - наставляемый", "коллектив наставников - коллектив наставляемых").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Наставничество в молодежном и детско-взрослом коллективе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Целью наставничества в молодежном и детско-взрослом коллективе является разносторонняя поддержка наставляемого, помощь в профессиональной ориентации и социальной адаптации, получении общего и профессионального образования, опыта участия в созидательном труде, а также формирование у наставляемого традиционных российских духовно-нравственных ценностей.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Наставничество в молодежном и детско-взрослом коллективе осуществляется на основе следующих принципов: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индивидуальный подход, в том числе учет особенностей личности, потребностей и обстоятельств жизни каждого наставляемого;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добровольность, в том числе участие наставников наставляемых на добровольной основе;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конфиденциальность, в том числе соблюдение прав наставляемых на защиту их личной информации;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профессионализм, в том числе обеспечение наставников необходимыми знаниями и навыками для работы с наставляемыми;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гуманность и уважение, в том числе отношение к наставляемому как к личности, уважение его прав, достоинства и интересов;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системность, в том числе взаимодействие всех участников системы профилактики безнадзорности и правонарушений несовершеннолетних для достижения максимального эффекта;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профилактическая направленность, в том числе акцент на предотвращение правонарушений и антисоциального поведения, а не только на реагирование на уже возникшие проблемы.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реализации наставничества в молодежном и детско-взрослом коллективе в качестве наставников привлекаются следующие граждане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участники молодежного и детско-взрослого коллектива в целях получения наставляемыми актуальной информации, необходимой для дальнейшей самореализации, профессиональной реализации и трудоустройства;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представители общественных организаций и объединений ветеранов труда и боевых действий, в том числе лица, принимавшие участие в специальной военной операции, физкультурно-спортивных организаций, религиозных организаций, принадлежащих к традиционным для народов Российской Федерации конфессиям, и иных организаций, деятельность которых основывается на традиционных российских духовно-нравственных ценностях;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педагогические и социальные работники, а также иные лица, включенные в формируемый в соответствии с </w:t>
      </w:r>
      <w:hyperlink w:history="0" r:id="rId33" w:tooltip="Федеральный закон от 24.06.1999 N 120-ФЗ (ред. от 04.08.2026) &quot;Об основах системы профилактики безнадзорности и правонарушений несовершеннолетних&quot; {КонсультантПлюс}">
        <w:r>
          <w:rPr>
            <w:sz w:val="24"/>
            <w:color w:val="0000ff"/>
          </w:rPr>
          <w:t xml:space="preserve">пунктом 2 статьи 8.2</w:t>
        </w:r>
      </w:hyperlink>
      <w:r>
        <w:rPr>
          <w:sz w:val="24"/>
        </w:rPr>
        <w:t xml:space="preserve"> Федерального закона "Об основах системы профилактики безнадзорности и правонарушений несовершеннолетних" реестр наставников, привлекаемых для осуществления индивидуальной профилактической работы с несовершеннолетними, которые состоят на различных видах профилактического учета в органах и учреждениях системы профилактики безнадзорности и правонарушений несовершеннолетних.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Одной из ключевых целей развития наставничества для несовершеннолетних, в отношении которых осуществляется индивидуальная профилактическая работа, является создание эффективных механизмов взаимодействия всех участников системы профилактики безнадзорности и правонарушений несовершеннолетних, включая наставников, организации, осуществляющие образовательную деятельность, некоммерческие организации, организации, участвующие в деятельности по профилактике безнадзорности и правонарушений несовершеннолетних, а также других участников, задействованных в системе профилактики безнадзорности и правонарушений несовершеннолетних.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Такое взаимодействие направлено на обеспечение комплексного подхода к решению проблем несовершеннолетних, объединение усилий всех заинтересованных сторон и создание единого пространства поддержки, способствующего успешной социализации, реабилитации и интеграции подростков в общество, в соответствии с Федеральным </w:t>
      </w:r>
      <w:hyperlink w:history="0" r:id="rId34" w:tooltip="Федеральный закон от 24.06.1999 N 120-ФЗ (ред. от 04.08.2026) &quot;Об основах системы профилактики безнадзорности и правонарушений несовершеннолетних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"Об основах системы профилактики безнадзорности и правонарушений несовершеннолетних".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наставничество в отношении детей, находящихся в трудных жизненных ситуациях, вовлечен ряд институтов гражданского общества, но важны прежде всего позитивный образ и ролевая модель самого наставника, гражданина и патриота России, человека, имеющего опыт, достижения и заслуги.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связи с этим значимой задачей является создание условий для привлечения в качестве наставников (в том числе для несовершеннолетних) ветеранов боевых действий, а также лиц, принимавших участие в специальной военной операции.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Наставничество в молодежном и детско-взрослом коллективе может быть реализовано как с наставником из числа участников молодежного и детско-взрослого коллектива, так и с наставником, не являющимся участником молодежного и детско-взрослого коллектива.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Наставничество в сфере труда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Наставничество в сфере труда -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(или) рабочем месте по полученной (получаемой) другим работником профессии (специальности) на основании трудового договора или дополнительного соглашения к трудовому договору.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Наставничество в сфере труда регулируется Трудовым </w:t>
      </w:r>
      <w:hyperlink w:history="0" r:id="rId35" w:tooltip="&quot;Трудовой кодекс Российской Федерации&quot; от 30.12.2001 N 197-ФЗ (ред. от 29.12.2025, с изм. от 15.05.2026) {КонсультантПлюс}">
        <w:r>
          <w:rPr>
            <w:sz w:val="24"/>
            <w:color w:val="0000ff"/>
          </w:rPr>
          <w:t xml:space="preserve">кодексом</w:t>
        </w:r>
      </w:hyperlink>
      <w:r>
        <w:rPr>
          <w:sz w:val="24"/>
        </w:rPr>
        <w:t xml:space="preserve"> Российской Федерации, коллективными договорами и соглашениями.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внедрении наставничества на государственной гражданской службе действие трудового законодательства распространяется с особенностями, предусмотренными федеральными законами и иными нормативными правовыми актами Российской Федерации о государственной гражданской службе.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Наставничество на государственной гражданской службе Российской Федерации регулируется в соответствии с </w:t>
      </w:r>
      <w:hyperlink w:history="0" r:id="rId36" w:tooltip="Постановление Правительства РФ от 07.10.2019 N 1296 &quot;Об утверждении Положения о наставничестве на государственной гражданской службе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7 октября 2019 г. N 1296 "Об утверждении Положения о наставничестве на государственной гражданской службе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 учетом многообразия форм и разнообразия практик наставничества, сложившихся в сфере труда, их обобщение осуществляется в том числе на площадке Российской трехсторонней комиссии по регулированию социально-трудовых отношений и отражается в </w:t>
      </w:r>
      <w:hyperlink w:history="0" r:id="rId37" w:tooltip="&lt;Письмо&gt; Минпросвещения России от 18.06.2026 N ВЖ-1220/05 &quot;О направлении информации&quot; (вместе с &quot;Рекомендациями по организации наставничества в сфере труда&quot;, утв. решением Российской трехсторонней комиссии по регулированию социально-трудовых отношений, протокол от 22.04.2026 N 4пр) {КонсультантПлюс}">
        <w:r>
          <w:rPr>
            <w:sz w:val="24"/>
            <w:color w:val="0000ff"/>
          </w:rPr>
          <w:t xml:space="preserve">рекомендациях</w:t>
        </w:r>
      </w:hyperlink>
      <w:r>
        <w:rPr>
          <w:sz w:val="24"/>
        </w:rPr>
        <w:t xml:space="preserve"> по вопросам организации наставничества в сфере труда.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Иные виды наставничества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К иным видам наставничества относятся: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лидерское наставничество;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социальное наставничество;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другие виды наставничества.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Лидерское наставничество связано с развитием лидеров коллективов, лидерских команд при помощи лидеров-наставников и их сообществ.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Социальное наставничество направлено на формирование гармоничной, всесторонне развитой личности и обмен ведущим опытом между организациями (не включая наставничество в молодежном и детско-взрослом коллективе) и может быть реализовано в таких сферах, как общественная сфера и некоммерческий сектор, образование, здравоохранение, культура и искусство, физическая культура и спорт, военное дело и др.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виды наставничества могут регулироваться отдельными нормативными правовыми и локальными актами.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  <w:highlight w:val="yellow"/>
        </w:rPr>
        <w:t xml:space="preserve">VII. Направления содействия развитию наставничества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Направлениями содействия развитию наставничества со стороны федеральных органов исполнительной власти, исполнительных органов субъектов Российской Федерации и органов местного самоуправления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принятие на федеральном, региональном и муниципальном уровнях правовых актов, определяющих меры поддержки наставничества;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популяризация наставничества, наиболее успешных наставнических практик посредством средств массовой информации и ресурсов в информационно-телекоммуникационной сети "Интернет";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конкурсов, направленных на выявление лучших наставников и наставнических практик;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поддержка разработки и реализации образовательных программ, направленных на развитие наставнических компетенций у наставников;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поддержка развития и наполнения цифровой платформы, отражающей потребности в наставнической поддержке и наставниках в сферах общественной деятельности и молодежной политики, единой информационной системы в сфере развития добровольчества (волонтерства) (цифровая платформа "НАСТАВНИК.РФ");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приоритетное привлечение к наставнической деятельности в сфере образования и воспитания, в молодежном и детско-взрослом коллективе представителей общественных организаций и объединений ветеранов труда и боевых действий, в том числе лиц, принимавших участие в специальной военной операции, религиозных организаций, принадлежащих к традиционным для народов Российской Федерации конфессиям;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поддержка некоммерческих организаций и проектов, реализуемых некоммерческими организациями, в целях обмена лучшими практиками и повышения устойчивости некоммерческих организаций путем привлечения их в качестве наставников;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наставничества между некоммерческими организациями;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мер государственной поддержки некоммерческих организаций, осуществляющих наставническую деятельность, в том числе поддержки социально ориентированных некоммерческих организаций в соответствии со </w:t>
      </w:r>
      <w:hyperlink w:history="0" r:id="rId38" w:tooltip="Федеральный закон от 12.01.1996 N 7-ФЗ (ред. от 20.02.2026) &quot;О некоммерческих организациях&quot; {КонсультантПлюс}">
        <w:r>
          <w:rPr>
            <w:sz w:val="24"/>
            <w:color w:val="0000ff"/>
          </w:rPr>
          <w:t xml:space="preserve">статьей 31.1</w:t>
        </w:r>
      </w:hyperlink>
      <w:r>
        <w:rPr>
          <w:sz w:val="24"/>
        </w:rPr>
        <w:t xml:space="preserve"> Федерального закона "О некоммерческих организациях";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поддержка разработки и издания методических и научно-популярных материалов, направленных на популяризацию наставничества, продвижение лучших наставнических практик, а также развитие наставнических компетенций у наставников;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принятие мер по оказанию разносторонней поддержки гражданам, включенным в реестр наставников, привлекаемых для осуществления индивидуальной профилактической работы с несовершеннолетними, и организациям, включенным в реестр организаций, участвующих в деятельности по профилактике безнадзорности и правонарушений несовершеннолетних, формируемые в соответствии с </w:t>
      </w:r>
      <w:hyperlink w:history="0" r:id="rId39" w:tooltip="Федеральный закон от 24.06.1999 N 120-ФЗ (ред. от 04.08.2026) &quot;Об основах системы профилактики безнадзорности и правонарушений несовершеннолетних&quot; {КонсультантПлюс}">
        <w:r>
          <w:rPr>
            <w:sz w:val="24"/>
            <w:color w:val="0000ff"/>
          </w:rPr>
          <w:t xml:space="preserve">пунктом 2 статьи 8.2</w:t>
        </w:r>
      </w:hyperlink>
      <w:r>
        <w:rPr>
          <w:sz w:val="24"/>
        </w:rPr>
        <w:t xml:space="preserve"> Федерального закона "Об основах системы профилактики безнадзорности и правонарушений несовершеннолетних".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VIII. Целевые ориентиры реализации настоящей Концепции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Для наставничества целевыми ориентирами, достижение которых необходимо обеспечить к 2030 году, выступают: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доля государственных и муниципальных организаций, осуществляющих образовательную деятельность и реализующих наставничество в соответствии с настоящей Концепцией, в общем количестве государственных и муниципальных организаций, осуществляющих образовательную деятельность (не менее 70 процентов);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доля несовершеннолетних, указанных в </w:t>
      </w:r>
      <w:hyperlink w:history="0" r:id="rId40" w:tooltip="Федеральный закон от 24.06.1999 N 120-ФЗ (ред. от 04.08.2026) &quot;Об основах системы профилактики безнадзорности и правонарушений несовершеннолетних&quot; {КонсультантПлюс}">
        <w:r>
          <w:rPr>
            <w:sz w:val="24"/>
            <w:color w:val="0000ff"/>
          </w:rPr>
          <w:t xml:space="preserve">пункте 1 статьи 5</w:t>
        </w:r>
      </w:hyperlink>
      <w:r>
        <w:rPr>
          <w:sz w:val="24"/>
        </w:rPr>
        <w:t xml:space="preserve"> Федерального закона "Об основах системы профилактики безнадзорности и правонарушений несовершеннолетних", в отношении которых органами и учреждениями системы профилактики безнадзорности и правонарушений несовершеннолетних проводится индивидуальная профилактическая работа, которые имеют наставников, в общем количестве указанных несовершеннолетних, в отношении которых органами и учреждениями системы профилактики безнадзорности и правонарушений несовершеннолетних проводится индивидуальная профилактическая работа (не менее 10 процентов).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IX. Риски реализации настоящей Концепции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Ключевые риски реализации настоящей Концепции: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трансляция через наставничество деструктивных идей, противоречащих традиционным российским духовно-нравственным ценностям;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представление государственными и муниципальными организациями в Министерство просвещения Российской Федерации недостоверной информации о достижении целевых ориентиров настоящей Концепции;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избыточной отчетности;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снижение трудовой эффективности наставника по основному виду трудовой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нечеткое распределение функционала наставников в организациях и (или) на предприятиях.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нивелирования рисков реализации настоящей Концепции при осуществлении мониторинга реализации настоящей Концепции следует прибегать к широкому спектру методик, в том числе проведению социологических исследований среди целевых групп работников организаций, членов молодежных и детско-взрослых коллективов.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21 мая 2025 г. N 1264-р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53" w:name="P153"/>
    <w:bookmarkEnd w:id="153"/>
    <w:p>
      <w:pPr>
        <w:pStyle w:val="2"/>
        <w:jc w:val="center"/>
      </w:pPr>
      <w:r>
        <w:rPr>
          <w:sz w:val="24"/>
        </w:rPr>
        <w:t xml:space="preserve">ПЛАН</w:t>
      </w:r>
    </w:p>
    <w:p>
      <w:pPr>
        <w:pStyle w:val="2"/>
        <w:jc w:val="center"/>
      </w:pPr>
      <w:r>
        <w:rPr>
          <w:sz w:val="24"/>
        </w:rPr>
        <w:t xml:space="preserve">МЕРОПРИЯТИЙ ПО РЕАЛИЗАЦИИ КОНЦЕПЦИИ РАЗВИТИЯ НАСТАВНИЧЕСТВА</w:t>
      </w:r>
    </w:p>
    <w:p>
      <w:pPr>
        <w:pStyle w:val="2"/>
        <w:jc w:val="center"/>
      </w:pPr>
      <w:r>
        <w:rPr>
          <w:sz w:val="24"/>
        </w:rPr>
        <w:t xml:space="preserve">В РОССИЙСКОЙ ФЕДЕРАЦИИ НА ПЕРИОД ДО 2030 ГОДА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2551"/>
        <w:gridCol w:w="2835"/>
        <w:gridCol w:w="1928"/>
        <w:gridCol w:w="1144"/>
      </w:tblGrid>
      <w:tr>
        <w:tblPrEx>
          <w:tblBorders>
            <w:insideV w:val="single" w:sz="4"/>
            <w:insideH w:val="single" w:sz="4"/>
          </w:tblBorders>
        </w:tblPrEx>
        <w:tc>
          <w:tcPr>
            <w:gridSpan w:val="2"/>
            <w:tcW w:w="3118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мероприятия</w:t>
            </w:r>
          </w:p>
        </w:tc>
        <w:tc>
          <w:tcPr>
            <w:tcW w:w="283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Ответственный исполнитель</w:t>
            </w:r>
          </w:p>
        </w:tc>
        <w:tc>
          <w:tcPr>
            <w:tcW w:w="192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Отчетный документ</w:t>
            </w:r>
          </w:p>
        </w:tc>
        <w:tc>
          <w:tcPr>
            <w:tcW w:w="114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</w:t>
            </w:r>
          </w:p>
        </w:tc>
      </w:tr>
      <w:tr>
        <w:tc>
          <w:tcPr>
            <w:tcW w:w="56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55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Формирование реестра наставников, привлекаемых для осуществления индивидуальной профилактической работы с несовершеннолетними, и реестра организаций, участвующих в деятельности по профилактике безнадзорности и правонарушений несовершеннолетних, в соответствии с </w:t>
            </w:r>
            <w:hyperlink w:history="0" r:id="rId41" w:tooltip="Федеральный закон от 24.06.1999 N 120-ФЗ (ред. от 04.08.2026) &quot;Об основах системы профилактики безнадзорности и правонарушений несовершеннолетних&quot; {КонсультантПлюс}">
              <w:r>
                <w:rPr>
                  <w:sz w:val="24"/>
                  <w:color w:val="0000ff"/>
                </w:rPr>
                <w:t xml:space="preserve">пунктом 2 статьи 8.2</w:t>
              </w:r>
            </w:hyperlink>
            <w:r>
              <w:rPr>
                <w:sz w:val="24"/>
              </w:rPr>
              <w:t xml:space="preserve"> Федерального закона "Об основах системы профилактики безнадзорности и правонарушений несовершеннолетних"</w:t>
            </w:r>
          </w:p>
        </w:tc>
        <w:tc>
          <w:tcPr>
            <w:tcW w:w="283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</w:t>
            </w:r>
          </w:p>
        </w:tc>
        <w:tc>
          <w:tcPr>
            <w:tcW w:w="192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14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 марта 2026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Развитие и наполнение цифровой платформы, отражающей потребности в наставнической поддержке и наставниках в сферах общественной деятельности и молодежной политики, единой информационной системы в сфере развития добровольчества (волонтерства) (далее - цифровая платформа "НАСТАВНИК.РФ")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Росмолодежь,</w:t>
            </w:r>
          </w:p>
          <w:p>
            <w:pPr>
              <w:pStyle w:val="0"/>
            </w:pPr>
            <w:r>
              <w:rPr>
                <w:sz w:val="24"/>
              </w:rPr>
              <w:t xml:space="preserve">Ассоциация волонтерских центров, некоммерческих организаций и институтов общественного развития "Добро.рф",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Минздрав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Общероссийское общественно-государственное движение детей и молодежи "Движение первых",</w:t>
            </w:r>
          </w:p>
          <w:p>
            <w:pPr>
              <w:pStyle w:val="0"/>
            </w:pPr>
            <w:r>
              <w:rPr>
                <w:sz w:val="24"/>
              </w:rPr>
              <w:t xml:space="preserve">Всероссийское общественное движение наставников детей и молодежи "НАСТАВНИКИ РОССИИ",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декабря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Разработка и размещение на цифровой платформе "НАСТАВНИК.РФ" онлайн-курсов по различным направлениям наставничества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Ассоциация волонтерских центров, некоммерческих организаций и институтов общественного развития "Добро.рф",</w:t>
            </w:r>
          </w:p>
          <w:p>
            <w:pPr>
              <w:pStyle w:val="0"/>
            </w:pPr>
            <w:r>
              <w:rPr>
                <w:sz w:val="24"/>
              </w:rPr>
              <w:t xml:space="preserve">Росмолодежь,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Общероссийская общественно-государственная просветительская организация "Российское общество "Знание",</w:t>
            </w:r>
          </w:p>
          <w:p>
            <w:pPr>
              <w:pStyle w:val="0"/>
            </w:pPr>
            <w:r>
              <w:rPr>
                <w:sz w:val="24"/>
              </w:rPr>
              <w:t xml:space="preserve">автономная некоммерческая организация "Россия - страна возможностей"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декабря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Освещение деятельности наставников и развития наставничества в сетевом издании dobro.press и на цифровой платформе "НАСТАВНИК.РФ"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Ассоциация волонтерских центров, некоммерческих организаций и институтов общественного развития "Добро.рф"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декабря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Развитие и реализация Всероссийского проекта "Значимый взрослый" в отношении детей, находящихся в трудной жизненной ситуации, и несовершеннолетних, в отношении которых органами и учреждениями системы профилактики безнадзорности и правонарушений несовершеннолетних проводится индивидуальная профилактическая работа, а также лучших региональных практик наставничества, размещенных на цифровой платформе региональных практик устойчивого развития "Смартека"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Общероссийское общественно-государственное движение детей и молодежи "Движение первых",</w:t>
            </w:r>
          </w:p>
          <w:p>
            <w:pPr>
              <w:pStyle w:val="0"/>
            </w:pPr>
            <w:r>
              <w:rPr>
                <w:sz w:val="24"/>
              </w:rPr>
              <w:t xml:space="preserve">Ассоциация волонтерских центров, некоммерческих организаций и институтов общественного развития "Добро.рф",</w:t>
            </w:r>
          </w:p>
          <w:p>
            <w:pPr>
              <w:pStyle w:val="0"/>
            </w:pPr>
            <w:r>
              <w:rPr>
                <w:sz w:val="24"/>
              </w:rPr>
              <w:t xml:space="preserve">Всероссийское общественное движение наставников детей и молодежи "НАСТАВНИКИ РОССИИ"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декабря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Реализация образовательных программ для родителей, связанных с современными технологиями наставничества, в целях решения воспитательных задач и продвижения традиционных российских духовно-нравственных ценностей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Всероссийское общественное движение наставников детей и молодежи "НАСТАВНИКИ РОССИИ"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декабря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ежегодного Всероссийского конкурса "Наставничество"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Росмолодежь,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Общероссийская общественно-государственная просветительская организация "Российское общество "Знание",</w:t>
            </w:r>
          </w:p>
          <w:p>
            <w:pPr>
              <w:pStyle w:val="0"/>
            </w:pPr>
            <w:r>
              <w:rPr>
                <w:sz w:val="24"/>
              </w:rPr>
              <w:t xml:space="preserve">Ассоциация волонтерских центров, некоммерческих организаций и институтов общественного развития "Добро.рф",</w:t>
            </w:r>
          </w:p>
          <w:p>
            <w:pPr>
              <w:pStyle w:val="0"/>
            </w:pPr>
            <w:r>
              <w:rPr>
                <w:sz w:val="24"/>
              </w:rPr>
              <w:t xml:space="preserve">автономная некоммерческая организация "Центр знаний "Машук",</w:t>
            </w:r>
          </w:p>
          <w:p>
            <w:pPr>
              <w:pStyle w:val="0"/>
            </w:pPr>
            <w:r>
              <w:rPr>
                <w:sz w:val="24"/>
              </w:rPr>
              <w:t xml:space="preserve">молодежная общероссийская общественная организация "Российские Студенческие Отряды",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Общероссийская общественная организация малого и среднего предпринимательства "ОПОРА РОССИИ",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Общероссийское общественно-государственное движение детей и молодежи "Движение первых"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информационные материалы об итогах Всероссийского конкурса "Наставничество", размещенные на официальном сайте Минпросвещения России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декабря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и проведение Международной Премии #МЫВМЕСТЕ в номинации "Наставник года"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Росмолодежь,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высшие исполнительные органы субъектов Российской Федерации, Ассоциация волонтерских центров, некоммерческих организаций и институтов общественного развития "Добро.рф"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информационные материалы об итогах Международной Премии #МЫВМЕСТЕ в номинации "Наставник года", размещенные на официальном сайте Росмолодежи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декабря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Реализация курсов, дисциплин (модулей), направленных на развитие компетенций у наставников, необходимых для осуществления наставничества, в том числе работы по формированию приверженности у наставляемых традиционным российским духовно-нравственным ценностям, в целях</w:t>
            </w:r>
          </w:p>
          <w:p>
            <w:pPr>
              <w:pStyle w:val="0"/>
            </w:pPr>
            <w:r>
              <w:rPr>
                <w:sz w:val="24"/>
              </w:rPr>
              <w:t xml:space="preserve">их включения в программы повышения квалификации руководителей и работников организаций социальной сферы и реального сектора экономики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Росмолодежь,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Общероссийская общественно-государственная просветительская организация "Российское общество "Знание",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Общероссийское общественно-государственное движение детей и молодежи "Движение первых",</w:t>
            </w:r>
          </w:p>
          <w:p>
            <w:pPr>
              <w:pStyle w:val="0"/>
            </w:pPr>
            <w:r>
              <w:rPr>
                <w:sz w:val="24"/>
              </w:rPr>
              <w:t xml:space="preserve">молодежная общероссийская общественная организация "Российские Студенческие Отряды",</w:t>
            </w:r>
          </w:p>
          <w:p>
            <w:pPr>
              <w:pStyle w:val="0"/>
            </w:pPr>
            <w:r>
              <w:rPr>
                <w:sz w:val="24"/>
              </w:rPr>
              <w:t xml:space="preserve">Всероссийское общественное движение наставников детей и молодежи "НАСТАВНИКИ РОССИИ",</w:t>
            </w:r>
          </w:p>
          <w:p>
            <w:pPr>
              <w:pStyle w:val="0"/>
            </w:pPr>
            <w:r>
              <w:rPr>
                <w:sz w:val="24"/>
              </w:rPr>
              <w:t xml:space="preserve">автономная некоммерческая организация "Россия - страна возможностей",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Общероссийская общественная организация малого и среднего предпринимательства "ОПОРА РОССИИ", заинтересованные государственные корпорации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декабря 2026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Разработка и издание методических и научно-популярных материалов, направленных на развитие наставнических компетенций у наставников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автономная некоммерческая организация "Центр знаний "Машук"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методические и научно-популярные материалы, направленные на развитие наставнических компетенций у наставников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декабря 2025 г.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фестиваля наставников студенческих отрядов и трудовых отрядов подростков "Труд Крут"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молодежная общероссийская общественная организация "Российские Студенческие Отряды",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информационные материалы об итогах фестиваля наставников студенческих отрядов и трудовых отрядов подростков "Труд Крут", размещенные на официальном сайте молодежной общероссийской общественной организации "Российские Студенческие Отряды"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декабря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Повышение уровня вовлеченности лиц, принимавших участие в специальной военной операции, иных вооруженных конфликтах и боевых действиях, в качестве наставников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Росмолодежь,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Общероссийская общественно-государственная просветительская организация "Российское общество "Знание",</w:t>
            </w:r>
          </w:p>
          <w:p>
            <w:pPr>
              <w:pStyle w:val="0"/>
            </w:pPr>
            <w:r>
              <w:rPr>
                <w:sz w:val="24"/>
              </w:rPr>
              <w:t xml:space="preserve">Ассоциация волонтерских центров, некоммерческих организаций и институтов общественного развития "Добро.рф",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Общероссийское общественно-государственное движение детей и молодежи "Движение первых", молодежная общероссийская общественная организация "Российские Студенческие Отряды",</w:t>
            </w:r>
          </w:p>
          <w:p>
            <w:pPr>
              <w:pStyle w:val="0"/>
            </w:pPr>
            <w:r>
              <w:rPr>
                <w:sz w:val="24"/>
              </w:rPr>
              <w:t xml:space="preserve">Всероссийское общественное движение наставников детей и молодежи "НАСТАВНИКИ РОССИИ",</w:t>
            </w:r>
          </w:p>
          <w:p>
            <w:pPr>
              <w:pStyle w:val="0"/>
            </w:pPr>
            <w:r>
              <w:rPr>
                <w:sz w:val="24"/>
              </w:rPr>
              <w:t xml:space="preserve">автономная некоммерческая организация "Россия - страна возможностей",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декабря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Развитие и реализация в общеобразовательных организациях системы наставничества в сфере технологий искусственного интеллекта, в том числе с привлечением представителей организаций, применяющих такие технологии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Минцифры России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июня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один раз в полгода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ежегодной Всероссийской премии общественного признания наставников "Первый среди равных"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Всероссийское общественное движение наставников детей и молодежи "НАСТАВНИКИ РОССИИ",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информационные материалы об итогах Всероссийской премии общественного признания наставников "Первый среди равных", размещенные на официальном сайте Всероссийского общественного движения наставников детей и молодежи "НАСТАВНИКИ РОССИИ"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декабря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  <w:highlight w:val="yellow"/>
              </w:rPr>
              <w:t xml:space="preserve">Принятие на региональном уровне правовых актов, определяющих меры поддержки наставничества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  <w:highlight w:val="yellow"/>
              </w:rPr>
              <w:t xml:space="preserve">высшие исполнительные органы субъектов Российской Федерации,</w:t>
            </w:r>
          </w:p>
          <w:p>
            <w:pPr>
              <w:pStyle w:val="0"/>
            </w:pPr>
            <w:r>
              <w:rPr>
                <w:sz w:val="24"/>
                <w:highlight w:val="yellow"/>
              </w:rPr>
              <w:t xml:space="preserve">Минпросвещения России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  <w:highlight w:val="yellow"/>
              </w:rPr>
              <w:t xml:space="preserve">доклад высших исполнительных органов су</w:t>
            </w:r>
            <w:r>
              <w:rPr>
                <w:sz w:val="24"/>
              </w:rPr>
              <w:t xml:space="preserve">бъектов Российской Федерации в Минпросвещения России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декабря 2026 г.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  <w:highlight w:val="yellow"/>
              </w:rPr>
              <w:t xml:space="preserve">Принятие мер по оказанию поддержки гражданам, включенным в реестр наставников, привлекаемых для осуществления индивидуальной профилактической работы с несовершеннолетними, и организациям, включенным в реестр организаций, участвующих в деятельности по профилактике безнадзорности и правонарушений несовершеннолетних, формируемые в соответствии с </w:t>
            </w:r>
            <w:hyperlink w:history="0" r:id="rId42" w:tooltip="Федеральный закон от 24.06.1999 N 120-ФЗ (ред. от 04.08.2026) &quot;Об основах системы профилактики безнадзорности и правонарушений несовершеннолетних&quot; {КонсультантПлюс}">
              <w:r>
                <w:rPr>
                  <w:sz w:val="24"/>
                  <w:color w:val="0000ff"/>
                  <w:highlight w:val="yellow"/>
                </w:rPr>
                <w:t xml:space="preserve">пунктом 2 статьи 8.2</w:t>
              </w:r>
            </w:hyperlink>
            <w:r>
              <w:rPr>
                <w:sz w:val="24"/>
                <w:highlight w:val="yellow"/>
              </w:rPr>
              <w:t xml:space="preserve"> Федерального закона "Об основах системы профилактики безнадзорности и правонарушений несовершеннолетних"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  <w:highlight w:val="yellow"/>
              </w:rPr>
              <w:t xml:space="preserve">высшие исполнительные органы субъектов Российской Федерации,</w:t>
            </w:r>
          </w:p>
          <w:p>
            <w:pPr>
              <w:pStyle w:val="0"/>
            </w:pPr>
            <w:r>
              <w:rPr>
                <w:sz w:val="24"/>
                <w:highlight w:val="yellow"/>
              </w:rPr>
              <w:t xml:space="preserve">Минпросвещения</w:t>
            </w:r>
            <w:r>
              <w:rPr>
                <w:sz w:val="24"/>
              </w:rPr>
              <w:t xml:space="preserve"> России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высших исполнительных органов субъектов Российской Федерации в Минпросвещения России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декабря 2026 г.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Разработка при участии объединений работодателей методических рекомендаций по расширению практик наставничества на предприятиях, включая международные практики наставничества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Минпромторг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Общероссийское объединение работодателей "Российский союз промышленников и предпринимателей",</w:t>
            </w:r>
          </w:p>
          <w:p>
            <w:pPr>
              <w:pStyle w:val="0"/>
            </w:pPr>
            <w:r>
              <w:rPr>
                <w:sz w:val="24"/>
              </w:rPr>
              <w:t xml:space="preserve">заинтересованные государственные корпорации,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методические рекомендации по расширению практик наставничества на предприятиях, направленные в субъекты Российской Федерации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декабря 2025 г.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Разработка методических рекомендаций по реализации наставничества в молодежном и детско-взрослом коллективе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Росмолодежь,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Общероссийское общественно-государственное движение детей и молодежи "Движение первых"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методические рекомендации по реализации наставничества в молодежном и детско-взрослом коллективе, направленные в субъекты Российской Федерации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декабря 2025 г.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Подготовка рекомендаций по регулированию социально-трудовых отношений по организации наставничества в сфере труда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заинтересованные федеральные органы исполнительной власти,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Общероссийское объединение работодателей "Российский союз промышленников и предпринимателей",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Общероссийский союз "Федерация Независимых Профсоюзов России",</w:t>
            </w:r>
          </w:p>
          <w:p>
            <w:pPr>
              <w:pStyle w:val="0"/>
            </w:pPr>
            <w:r>
              <w:rPr>
                <w:sz w:val="24"/>
              </w:rPr>
              <w:t xml:space="preserve">Российская трехсторонняя комиссия по регулированию социально-трудовых отношений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рекомендации по регулированию социально-трудовых отношений</w:t>
            </w:r>
          </w:p>
          <w:p>
            <w:pPr>
              <w:pStyle w:val="0"/>
            </w:pPr>
            <w:r>
              <w:rPr>
                <w:sz w:val="24"/>
              </w:rPr>
              <w:t xml:space="preserve">по организации наставничества в сфере труда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декабря 2025 г.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Поддержка проектов, направленных на развитие практик наставничества ветеранов специальной военной операции по отношению к детям и молодежи, в том числе детям из социально уязвимых категорий граждан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Росмолодежь,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Общероссийское общественно-государственное движение детей и молодежи "Движение первых",</w:t>
            </w:r>
          </w:p>
          <w:p>
            <w:pPr>
              <w:pStyle w:val="0"/>
            </w:pPr>
            <w:r>
              <w:rPr>
                <w:sz w:val="24"/>
              </w:rPr>
              <w:t xml:space="preserve">Фонд президентских грантов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декабря 2025 г.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Разработка и утверждение образовательной программы для военнослужащих, желающих стать наставниками для детей и молодежи, и опубликование ее на цифровой платформе "НАСТАВНИК.РФ"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Росмолодежь,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Общероссийское общественно-государственное движение детей и молодежи "Движение первых"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декабря 2025 г.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Поддержка проектов в сфере культуры, искусства и креативных (творческих) индустрий, связанных с повышением престижа профессии педагога и наставника, а также с поддержкой и развитием творческих способностей, талантов детей и молодежи через формы наставничества, в том числе с привлечением к наставнической деятельности ветеранов специальной военной операции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Президентский фонд культурных инициатив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ноября 2025 г.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21.05.2025 N 1264-р</w:t>
            <w:br/>
            <w:t>&lt;Об утверждении Концепции развития наставничества в Российской Феде...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69646&amp;date=13.08.2026&amp;dst=100005&amp;field=134" TargetMode = "External"/><Relationship Id="rId9" Type="http://schemas.openxmlformats.org/officeDocument/2006/relationships/hyperlink" Target="https://login.consultant.ru/link/?req=doc&amp;base=LAW&amp;n=519026&amp;date=13.08.2026&amp;dst=3139&amp;field=134" TargetMode = "External"/><Relationship Id="rId10" Type="http://schemas.openxmlformats.org/officeDocument/2006/relationships/hyperlink" Target="https://login.consultant.ru/link/?req=doc&amp;base=LAW&amp;n=536617&amp;date=13.08.2026" TargetMode = "External"/><Relationship Id="rId11" Type="http://schemas.openxmlformats.org/officeDocument/2006/relationships/hyperlink" Target="https://login.consultant.ru/link/?req=doc&amp;base=LAW&amp;n=527089&amp;date=13.08.2026" TargetMode = "External"/><Relationship Id="rId12" Type="http://schemas.openxmlformats.org/officeDocument/2006/relationships/hyperlink" Target="https://login.consultant.ru/link/?req=doc&amp;base=LAW&amp;n=540430&amp;date=13.08.2026" TargetMode = "External"/><Relationship Id="rId13" Type="http://schemas.openxmlformats.org/officeDocument/2006/relationships/hyperlink" Target="https://login.consultant.ru/link/?req=doc&amp;base=LAW&amp;n=541079&amp;date=13.08.2026" TargetMode = "External"/><Relationship Id="rId14" Type="http://schemas.openxmlformats.org/officeDocument/2006/relationships/hyperlink" Target="https://login.consultant.ru/link/?req=doc&amp;base=LAW&amp;n=527091&amp;date=13.08.2026" TargetMode = "External"/><Relationship Id="rId15" Type="http://schemas.openxmlformats.org/officeDocument/2006/relationships/hyperlink" Target="https://login.consultant.ru/link/?req=doc&amp;base=LAW&amp;n=541149&amp;date=13.08.2026&amp;dst=100173&amp;field=134" TargetMode = "External"/><Relationship Id="rId16" Type="http://schemas.openxmlformats.org/officeDocument/2006/relationships/hyperlink" Target="https://login.consultant.ru/link/?req=doc&amp;base=LAW&amp;n=541193&amp;date=13.08.2026&amp;dst=282&amp;field=134" TargetMode = "External"/><Relationship Id="rId17" Type="http://schemas.openxmlformats.org/officeDocument/2006/relationships/hyperlink" Target="https://login.consultant.ru/link/?req=doc&amp;base=LAW&amp;n=537945&amp;date=13.08.2026" TargetMode = "External"/><Relationship Id="rId18" Type="http://schemas.openxmlformats.org/officeDocument/2006/relationships/hyperlink" Target="https://login.consultant.ru/link/?req=doc&amp;base=LAW&amp;n=511706&amp;date=13.08.2026" TargetMode = "External"/><Relationship Id="rId19" Type="http://schemas.openxmlformats.org/officeDocument/2006/relationships/hyperlink" Target="https://login.consultant.ru/link/?req=doc&amp;base=LAW&amp;n=541081&amp;date=13.08.2026" TargetMode = "External"/><Relationship Id="rId20" Type="http://schemas.openxmlformats.org/officeDocument/2006/relationships/hyperlink" Target="https://login.consultant.ru/link/?req=doc&amp;base=LAW&amp;n=541150&amp;date=13.08.2026&amp;dst=100092&amp;field=134" TargetMode = "External"/><Relationship Id="rId21" Type="http://schemas.openxmlformats.org/officeDocument/2006/relationships/hyperlink" Target="https://login.consultant.ru/link/?req=doc&amp;base=LAW&amp;n=520110&amp;date=13.08.2026" TargetMode = "External"/><Relationship Id="rId22" Type="http://schemas.openxmlformats.org/officeDocument/2006/relationships/hyperlink" Target="https://login.consultant.ru/link/?req=doc&amp;base=LAW&amp;n=527104&amp;date=13.08.2026" TargetMode = "External"/><Relationship Id="rId23" Type="http://schemas.openxmlformats.org/officeDocument/2006/relationships/hyperlink" Target="https://login.consultant.ru/link/?req=doc&amp;base=LAW&amp;n=510266&amp;date=13.08.2026" TargetMode = "External"/><Relationship Id="rId24" Type="http://schemas.openxmlformats.org/officeDocument/2006/relationships/hyperlink" Target="https://login.consultant.ru/link/?req=doc&amp;base=LAW&amp;n=400866&amp;date=13.08.2026" TargetMode = "External"/><Relationship Id="rId25" Type="http://schemas.openxmlformats.org/officeDocument/2006/relationships/hyperlink" Target="https://login.consultant.ru/link/?req=doc&amp;base=LAW&amp;n=528090&amp;date=13.08.2026" TargetMode = "External"/><Relationship Id="rId26" Type="http://schemas.openxmlformats.org/officeDocument/2006/relationships/hyperlink" Target="https://login.consultant.ru/link/?req=doc&amp;base=LAW&amp;n=470973&amp;date=13.08.2026" TargetMode = "External"/><Relationship Id="rId27" Type="http://schemas.openxmlformats.org/officeDocument/2006/relationships/hyperlink" Target="https://login.consultant.ru/link/?req=doc&amp;base=LAW&amp;n=475991&amp;date=13.08.2026" TargetMode = "External"/><Relationship Id="rId28" Type="http://schemas.openxmlformats.org/officeDocument/2006/relationships/hyperlink" Target="https://login.consultant.ru/link/?req=doc&amp;base=LAW&amp;n=522570&amp;date=13.08.2026" TargetMode = "External"/><Relationship Id="rId29" Type="http://schemas.openxmlformats.org/officeDocument/2006/relationships/hyperlink" Target="https://login.consultant.ru/link/?req=doc&amp;base=LAW&amp;n=335180&amp;date=13.08.2026" TargetMode = "External"/><Relationship Id="rId30" Type="http://schemas.openxmlformats.org/officeDocument/2006/relationships/hyperlink" Target="https://login.consultant.ru/link/?req=doc&amp;base=LAW&amp;n=467684&amp;date=13.08.2026" TargetMode = "External"/><Relationship Id="rId31" Type="http://schemas.openxmlformats.org/officeDocument/2006/relationships/hyperlink" Target="https://login.consultant.ru/link/?req=doc&amp;base=LAW&amp;n=518948&amp;date=13.08.2026" TargetMode = "External"/><Relationship Id="rId32" Type="http://schemas.openxmlformats.org/officeDocument/2006/relationships/hyperlink" Target="https://login.consultant.ru/link/?req=doc&amp;base=LAW&amp;n=533601&amp;date=13.08.2026" TargetMode = "External"/><Relationship Id="rId33" Type="http://schemas.openxmlformats.org/officeDocument/2006/relationships/hyperlink" Target="https://login.consultant.ru/link/?req=doc&amp;base=LAW&amp;n=541193&amp;date=13.08.2026&amp;dst=284&amp;field=134" TargetMode = "External"/><Relationship Id="rId34" Type="http://schemas.openxmlformats.org/officeDocument/2006/relationships/hyperlink" Target="https://login.consultant.ru/link/?req=doc&amp;base=LAW&amp;n=541193&amp;date=13.08.2026" TargetMode = "External"/><Relationship Id="rId35" Type="http://schemas.openxmlformats.org/officeDocument/2006/relationships/hyperlink" Target="https://login.consultant.ru/link/?req=doc&amp;base=LAW&amp;n=519026&amp;date=13.08.2026" TargetMode = "External"/><Relationship Id="rId36" Type="http://schemas.openxmlformats.org/officeDocument/2006/relationships/hyperlink" Target="https://login.consultant.ru/link/?req=doc&amp;base=LAW&amp;n=335180&amp;date=13.08.2026" TargetMode = "External"/><Relationship Id="rId37" Type="http://schemas.openxmlformats.org/officeDocument/2006/relationships/hyperlink" Target="https://login.consultant.ru/link/?req=doc&amp;base=LAW&amp;n=535015&amp;date=13.08.2026&amp;dst=100002&amp;field=134" TargetMode = "External"/><Relationship Id="rId38" Type="http://schemas.openxmlformats.org/officeDocument/2006/relationships/hyperlink" Target="https://login.consultant.ru/link/?req=doc&amp;base=LAW&amp;n=527104&amp;date=13.08.2026&amp;dst=134&amp;field=134" TargetMode = "External"/><Relationship Id="rId39" Type="http://schemas.openxmlformats.org/officeDocument/2006/relationships/hyperlink" Target="https://login.consultant.ru/link/?req=doc&amp;base=LAW&amp;n=541193&amp;date=13.08.2026&amp;dst=284&amp;field=134" TargetMode = "External"/><Relationship Id="rId40" Type="http://schemas.openxmlformats.org/officeDocument/2006/relationships/hyperlink" Target="https://login.consultant.ru/link/?req=doc&amp;base=LAW&amp;n=541193&amp;date=13.08.2026&amp;dst=100033&amp;field=134" TargetMode = "External"/><Relationship Id="rId41" Type="http://schemas.openxmlformats.org/officeDocument/2006/relationships/hyperlink" Target="https://login.consultant.ru/link/?req=doc&amp;base=LAW&amp;n=541193&amp;date=13.08.2026&amp;dst=284&amp;field=134" TargetMode = "External"/><Relationship Id="rId42" Type="http://schemas.openxmlformats.org/officeDocument/2006/relationships/hyperlink" Target="https://login.consultant.ru/link/?req=doc&amp;base=LAW&amp;n=541193&amp;date=13.08.2026&amp;dst=284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21.05.2025 N 1264-р
&lt;Об утверждении Концепции развития наставничества в Российской Федерации на период до 2030 года и плана мероприятий по ее реализации&gt;</dc:title>
  <dcterms:created xsi:type="dcterms:W3CDTF">2026-08-13T11:47:55Z</dcterms:created>
</cp:coreProperties>
</file>