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4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  <w:t>Рекомендации по организации методической работы в 2026- 2027 учебном году с учителями музыки</w:t>
      </w:r>
    </w:p>
    <w:p>
      <w:pPr>
        <w:pStyle w:val="user4"/>
        <w:jc w:val="center"/>
        <w:rPr>
          <w:b/>
          <w:color w:themeColor="text1" w:val="000000"/>
        </w:rPr>
      </w:pPr>
      <w:r>
        <w:rPr>
          <w:b/>
          <w:color w:themeColor="text1" w:val="000000"/>
        </w:rPr>
      </w:r>
    </w:p>
    <w:tbl>
      <w:tblPr>
        <w:tblW w:w="15981" w:type="dxa"/>
        <w:jc w:val="left"/>
        <w:tblInd w:w="-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68"/>
        <w:gridCol w:w="5563"/>
        <w:gridCol w:w="5450"/>
      </w:tblGrid>
      <w:tr>
        <w:trPr/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Проблема в профессиональной деятельности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Актуальные направления в деятельности педагогов и темы, рассматриваемые на курсах в ВИРО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Темы, предлагаемые для рассмотрения на МО</w:t>
            </w:r>
          </w:p>
        </w:tc>
      </w:tr>
      <w:tr>
        <w:trPr>
          <w:trHeight w:val="3768" w:hRule="atLeast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Реализация федеральной рабочей программы по музыке начального  и основного общего образования.</w:t>
            </w:r>
          </w:p>
          <w:p>
            <w:pPr>
              <w:pStyle w:val="Normal"/>
              <w:widowControl w:val="false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Проектирование учебных занятий на основе  ФРП по музыке.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УБЦОК (универсальной библиотеки цифрового образовательного контента) в деятельности учителя музыки для достижения образовательных результатов.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numPr>
                <w:ilvl w:val="1"/>
                <w:numId w:val="4"/>
              </w:numPr>
              <w:rPr/>
            </w:pPr>
            <w:r>
              <w:rPr>
                <w:sz w:val="28"/>
                <w:szCs w:val="28"/>
              </w:rPr>
              <w:t>Использование материалов УБОЦК на уроке музыки (создание методической копилки уроков с использованием ресурса)</w:t>
            </w:r>
          </w:p>
          <w:p>
            <w:pPr>
              <w:pStyle w:val="BodyText"/>
              <w:widowControl w:val="false"/>
              <w:numPr>
                <w:ilvl w:val="1"/>
                <w:numId w:val="4"/>
              </w:numPr>
              <w:rPr/>
            </w:pPr>
            <w:r>
              <w:rPr>
                <w:sz w:val="28"/>
                <w:szCs w:val="28"/>
              </w:rPr>
              <w:t>Использование материалов э УБОЦК при формировании домашнего задания по музыке</w:t>
            </w:r>
          </w:p>
          <w:p>
            <w:pPr>
              <w:pStyle w:val="BodyText"/>
              <w:widowControl w:val="false"/>
              <w:numPr>
                <w:ilvl w:val="1"/>
                <w:numId w:val="4"/>
              </w:numPr>
              <w:rPr/>
            </w:pPr>
            <w:r>
              <w:rPr>
                <w:sz w:val="28"/>
                <w:szCs w:val="28"/>
              </w:rPr>
              <w:t>Использование материалов УБОЦК для проектирования мотивационного этапа урока музыки</w:t>
            </w:r>
          </w:p>
        </w:tc>
      </w:tr>
      <w:tr>
        <w:trPr>
          <w:trHeight w:val="226" w:hRule="atLeast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Соотношение объема теоретического</w:t>
            </w:r>
            <w:r>
              <w:rPr/>
              <w:t xml:space="preserve"> материала и </w:t>
            </w:r>
            <w:r>
              <w:rPr>
                <w:b/>
                <w:bCs/>
              </w:rPr>
              <w:t xml:space="preserve">практической музыкальной </w:t>
            </w:r>
            <w:r>
              <w:rPr>
                <w:b/>
              </w:rPr>
              <w:t>деятельности обучающихся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  <w:i w:val="false"/>
                <w:iCs w:val="false"/>
              </w:rPr>
              <w:t>на уроке музыки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Практическая музыкальная и творческая деятельность  – основной приоритет современного урока музыки.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jc w:val="left"/>
              <w:rPr/>
            </w:pPr>
            <w:r>
              <w:rPr/>
              <w:t>Организация практического музицирования на уроке музыки</w:t>
            </w:r>
            <w:r>
              <w:rPr>
                <w:i/>
              </w:rPr>
              <w:t xml:space="preserve">  (на примере конкретных классов, модулей,  тем)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jc w:val="left"/>
              <w:rPr/>
            </w:pPr>
            <w:r>
              <w:rPr>
                <w:i w:val="false"/>
                <w:iCs w:val="false"/>
              </w:rPr>
              <w:t xml:space="preserve">Организация вокально </w:t>
            </w:r>
            <w:r>
              <w:rPr>
                <w:i w:val="false"/>
                <w:iCs w:val="false"/>
                <w:strike w:val="false"/>
                <w:dstrike w:val="false"/>
              </w:rPr>
              <w:t>-  хоровой деятельности на уроке музыки (игровые распевания, разучивание и исполнение песни)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jc w:val="left"/>
              <w:rPr>
                <w:i w:val="false"/>
                <w:i w:val="false"/>
                <w:iCs w:val="false"/>
                <w:strike w:val="false"/>
                <w:dstrike w:val="false"/>
              </w:rPr>
            </w:pPr>
            <w:r>
              <w:rPr>
                <w:i w:val="false"/>
                <w:iCs w:val="false"/>
                <w:strike w:val="false"/>
                <w:dstrike w:val="false"/>
              </w:rPr>
              <w:t>Инструментальное музицирование на уроке музыке в контексте тематического планирования.</w:t>
            </w:r>
          </w:p>
        </w:tc>
      </w:tr>
      <w:tr>
        <w:trPr>
          <w:trHeight w:val="3069" w:hRule="atLeast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Создание и развитие школьных хоровых, вокальных и инструментальных коллективов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Интеграция общего и дополнительного образования.</w:t>
            </w:r>
          </w:p>
          <w:p>
            <w:pPr>
              <w:pStyle w:val="Normal"/>
              <w:widowControl w:val="false"/>
              <w:rPr/>
            </w:pPr>
            <w:r>
              <w:rPr/>
              <w:t>Школьный хор как воспитательное пространство.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Хоровое и инструментальное музицирование в рамках внеурочной деятельности.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Методика работы с хоровым коллективом.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Совместная творческая деятельность  обучающихся и педагогов  в интегрированных проектах.</w:t>
            </w:r>
          </w:p>
          <w:p>
            <w:pPr>
              <w:pStyle w:val="Normal"/>
              <w:widowControl w:val="false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/>
              <w:t>Вопросы организации школьного хора.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/>
              <w:t>Актуальные вопросы выбора репертуара для хоровых и вокальных коллективов.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/>
              <w:t>Хоровые и инструментальные коллективы обучающихся и педагогов как инструмент воспитания и формирования общих духовно -нравственных ценностей.</w:t>
            </w:r>
          </w:p>
        </w:tc>
      </w:tr>
      <w:tr>
        <w:trPr>
          <w:trHeight w:val="1619" w:hRule="atLeast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Взаимодействие с родителями по вопросу музыкального воспитания обучающихся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Модель взаимодействия учителя музыки  с родителями обучающихся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Создание модели взаимодействия с родителями по вопросам музыкального развития обучающихся.</w:t>
            </w:r>
          </w:p>
        </w:tc>
      </w:tr>
    </w:tbl>
    <w:p>
      <w:pPr>
        <w:pStyle w:val="Normal"/>
        <w:widowControl w:val="false"/>
        <w:rPr>
          <w:b/>
          <w:bCs/>
        </w:rPr>
      </w:pPr>
      <w:r>
        <w:rPr>
          <w:b/>
          <w:bCs/>
          <w:color w:themeColor="text1" w:val="000000"/>
        </w:rPr>
        <w:t>Региональные мероприятия 2026-2027</w:t>
      </w:r>
    </w:p>
    <w:p>
      <w:pPr>
        <w:pStyle w:val="Normal"/>
        <w:widowControl w:val="false"/>
        <w:numPr>
          <w:ilvl w:val="0"/>
          <w:numId w:val="5"/>
        </w:numPr>
        <w:rPr/>
      </w:pPr>
      <w:r>
        <w:rPr>
          <w:color w:themeColor="text1" w:val="000000"/>
        </w:rPr>
        <w:t>октябрь -декабрь 2026 - Всероссийский конкурс хоровых и вокальных коллективов (муниципальный и региональный этапы)</w:t>
      </w:r>
    </w:p>
    <w:p>
      <w:pPr>
        <w:pStyle w:val="Normal"/>
        <w:widowControl w:val="false"/>
        <w:numPr>
          <w:ilvl w:val="0"/>
          <w:numId w:val="5"/>
        </w:numPr>
        <w:rPr/>
      </w:pPr>
      <w:r>
        <w:rPr>
          <w:color w:themeColor="text1" w:val="000000"/>
        </w:rPr>
        <w:t>март- 2027 - региональный конкурс для учителей музыки и музыкальных руководителей ДОО «Музыкальная карусель»</w:t>
      </w:r>
    </w:p>
    <w:p>
      <w:pPr>
        <w:pStyle w:val="Normal"/>
        <w:widowControl w:val="false"/>
        <w:numPr>
          <w:ilvl w:val="0"/>
          <w:numId w:val="5"/>
        </w:numPr>
        <w:rPr/>
      </w:pPr>
      <w:r>
        <w:rPr>
          <w:color w:themeColor="text1" w:val="000000"/>
        </w:rPr>
        <w:t>апрель — май 2025 — региональный конкурс «Свирель Земли Владимирской».</w:t>
      </w:r>
    </w:p>
    <w:p>
      <w:pPr>
        <w:pStyle w:val="Normal"/>
        <w:widowControl w:val="false"/>
        <w:numPr>
          <w:ilvl w:val="0"/>
          <w:numId w:val="5"/>
        </w:numPr>
        <w:rPr/>
      </w:pPr>
      <w:r>
        <w:rPr>
          <w:b/>
          <w:bCs/>
          <w:color w:themeColor="text1" w:val="000000"/>
        </w:rPr>
        <w:t>2027</w:t>
      </w:r>
      <w:r>
        <w:rPr>
          <w:color w:themeColor="text1" w:val="000000"/>
        </w:rPr>
        <w:t>-Курсы повышения квалификации :</w:t>
      </w:r>
    </w:p>
    <w:p>
      <w:pPr>
        <w:pStyle w:val="Normal"/>
        <w:widowControl w:val="false"/>
        <w:numPr>
          <w:ilvl w:val="0"/>
          <w:numId w:val="0"/>
        </w:numPr>
        <w:ind w:hanging="0" w:left="720"/>
        <w:rPr>
          <w:color w:themeColor="text1" w:val="000000"/>
        </w:rPr>
      </w:pPr>
      <w:r>
        <w:rPr>
          <w:color w:themeColor="text1" w:val="000000"/>
        </w:rPr>
        <w:t>-</w:t>
      </w:r>
      <w:r>
        <w:rPr>
          <w:color w:themeColor="text1" w:val="000000"/>
          <w:u w:val="single"/>
        </w:rPr>
        <w:t>по освоению методики инструментального музицирования «Свирель Смеловой» -2 уровня:</w:t>
      </w:r>
    </w:p>
    <w:p>
      <w:pPr>
        <w:pStyle w:val="Normal"/>
        <w:widowControl w:val="false"/>
        <w:numPr>
          <w:ilvl w:val="0"/>
          <w:numId w:val="0"/>
        </w:numPr>
        <w:ind w:hanging="0" w:left="720"/>
        <w:rPr>
          <w:color w:themeColor="text1" w:val="000000"/>
        </w:rPr>
      </w:pPr>
      <w:r>
        <w:rPr>
          <w:color w:themeColor="text1" w:val="000000"/>
        </w:rPr>
        <w:t xml:space="preserve">              </w:t>
      </w:r>
      <w:r>
        <w:rPr>
          <w:color w:themeColor="text1" w:val="000000"/>
        </w:rPr>
        <w:t>1. «</w:t>
      </w:r>
      <w:r>
        <w:rPr>
          <w:color w:themeColor="text1" w:val="000000"/>
        </w:rPr>
        <w:t xml:space="preserve">Обучение методике инструментального музицирования «Свирель Э. Смеловой» (с нуля)- это программа </w:t>
      </w:r>
      <w:r>
        <w:rPr>
          <w:color w:themeColor="text1" w:val="000000"/>
        </w:rPr>
        <w:t xml:space="preserve">для начинающих </w:t>
      </w:r>
      <w:r>
        <w:rPr>
          <w:color w:themeColor="text1" w:val="000000"/>
        </w:rPr>
        <w:t>работать со Свирелью Смеловой (36 часов)</w:t>
      </w:r>
      <w:r>
        <w:rPr>
          <w:color w:themeColor="text1" w:val="000000"/>
        </w:rPr>
        <w:t>;</w:t>
      </w:r>
    </w:p>
    <w:p>
      <w:pPr>
        <w:pStyle w:val="Normal"/>
        <w:widowControl w:val="false"/>
        <w:numPr>
          <w:ilvl w:val="0"/>
          <w:numId w:val="0"/>
        </w:numPr>
        <w:ind w:hanging="0" w:left="720"/>
        <w:rPr>
          <w:color w:themeColor="text1" w:val="000000"/>
        </w:rPr>
      </w:pPr>
      <w:r>
        <w:rPr>
          <w:color w:themeColor="text1" w:val="000000"/>
        </w:rPr>
        <w:t xml:space="preserve">             </w:t>
      </w:r>
      <w:r>
        <w:rPr>
          <w:color w:themeColor="text1" w:val="000000"/>
        </w:rPr>
        <w:t>2.</w:t>
      </w:r>
      <w:r>
        <w:rPr>
          <w:color w:themeColor="text1" w:val="000000"/>
          <w:sz w:val="28"/>
          <w:szCs w:val="28"/>
        </w:rPr>
        <w:t>«</w:t>
      </w: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</w:rPr>
        <w:t xml:space="preserve">Методика инструментального музицирования «Свирель Э. Смеловой».Мастерская.» </w:t>
      </w: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</w:rPr>
        <w:t>(24 часа) -дл</w:t>
      </w: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text1" w:val="000000"/>
          <w:sz w:val="28"/>
          <w:szCs w:val="28"/>
          <w:u w:val="none"/>
        </w:rPr>
        <w:t>я педагогов, работающих несколько лет по методике.</w:t>
      </w:r>
    </w:p>
    <w:p>
      <w:pPr>
        <w:pStyle w:val="Normal"/>
        <w:widowControl w:val="false"/>
        <w:numPr>
          <w:ilvl w:val="0"/>
          <w:numId w:val="0"/>
        </w:numPr>
        <w:ind w:hanging="0" w:left="720"/>
        <w:rPr>
          <w:u w:val="single"/>
        </w:rPr>
      </w:pPr>
      <w:r>
        <w:rPr>
          <w:color w:themeColor="text1" w:val="000000"/>
          <w:u w:val="single"/>
        </w:rPr>
        <w:t xml:space="preserve"> </w:t>
      </w:r>
      <w:r>
        <w:rPr>
          <w:color w:themeColor="text1" w:val="000000"/>
          <w:u w:val="single"/>
        </w:rPr>
        <w:t>- «Хоровая лаборатория»-2 уровня:</w:t>
      </w:r>
    </w:p>
    <w:p>
      <w:pPr>
        <w:pStyle w:val="Normal"/>
        <w:widowControl w:val="false"/>
        <w:numPr>
          <w:ilvl w:val="0"/>
          <w:numId w:val="0"/>
        </w:numPr>
        <w:ind w:hanging="0" w:left="720"/>
        <w:rPr/>
      </w:pPr>
      <w:r>
        <w:rPr>
          <w:color w:themeColor="text1" w:val="000000"/>
        </w:rPr>
        <w:t xml:space="preserve">             </w:t>
      </w:r>
      <w:r>
        <w:rPr>
          <w:color w:themeColor="text1" w:val="000000"/>
        </w:rPr>
        <w:t>1. «Хоровая лаборатория» I ступень</w:t>
      </w:r>
    </w:p>
    <w:p>
      <w:pPr>
        <w:pStyle w:val="Normal"/>
        <w:widowControl w:val="false"/>
        <w:numPr>
          <w:ilvl w:val="0"/>
          <w:numId w:val="0"/>
        </w:numPr>
        <w:ind w:hanging="0" w:left="720"/>
        <w:rPr>
          <w:color w:themeColor="text1" w:val="000000"/>
        </w:rPr>
      </w:pPr>
      <w:r>
        <w:rPr>
          <w:color w:themeColor="text1" w:val="000000"/>
        </w:rPr>
        <w:t xml:space="preserve">             </w:t>
      </w:r>
      <w:r>
        <w:rPr>
          <w:color w:themeColor="text1" w:val="000000"/>
        </w:rPr>
        <w:t>2.«Хоровая лаборатория» III  ступень (для прошелших I и II ступени)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Исполнитель: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О. Н. Куликова, методист кабинета искусства ВИРО имени Л.И.Новиковой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Раб.тел.36-68-80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sectPr>
      <w:type w:val="nextPage"/>
      <w:pgSz w:orient="landscape" w:w="16838" w:h="11906"/>
      <w:pgMar w:left="567" w:right="73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rebuchet MS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MT Extra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bullet"/>
      <w:suff w:val="nothing"/>
      <w:lvlText w:val="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pStyle w:val="Heading2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isLgl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isLgl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isLgl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isLgl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isLgl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isLgl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isLgl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isLgl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isLgl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isLgl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isLgl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isLgl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333333"/>
      <w:kern w:val="0"/>
      <w:sz w:val="28"/>
      <w:szCs w:val="28"/>
      <w:lang w:val="ru-RU" w:eastAsia="en-US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Heading2">
    <w:name w:val="heading 2"/>
    <w:basedOn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rFonts w:eastAsia="Calibri"/>
      <w:b/>
      <w:color w:val="000000"/>
      <w:sz w:val="32"/>
      <w:szCs w:val="2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color w:val="333333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  <w:color w:val="333333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FontStyle53" w:customStyle="1">
    <w:name w:val="Font Style53"/>
    <w:qFormat/>
    <w:rPr>
      <w:rFonts w:ascii="Trebuchet MS" w:hAnsi="Trebuchet MS" w:cs="Trebuchet MS"/>
      <w:b/>
      <w:bCs/>
      <w:sz w:val="24"/>
      <w:szCs w:val="24"/>
    </w:rPr>
  </w:style>
  <w:style w:type="character" w:styleId="FontStyle57" w:customStyle="1">
    <w:name w:val="Font Style57"/>
    <w:qFormat/>
    <w:rPr>
      <w:rFonts w:ascii="Times New Roman" w:hAnsi="Times New Roman" w:cs="Times New Roman"/>
      <w:sz w:val="20"/>
      <w:szCs w:val="20"/>
    </w:rPr>
  </w:style>
  <w:style w:type="character" w:styleId="2" w:customStyle="1">
    <w:name w:val="Заголовок 2 Знак"/>
    <w:qFormat/>
    <w:rPr>
      <w:rFonts w:eastAsia="Calibri"/>
      <w:b/>
      <w:sz w:val="32"/>
      <w:szCs w:val="24"/>
    </w:rPr>
  </w:style>
  <w:style w:type="character" w:styleId="1" w:customStyle="1">
    <w:name w:val="Заголовок 1 Знак"/>
    <w:qFormat/>
    <w:rPr>
      <w:rFonts w:ascii="Cambria" w:hAnsi="Cambria" w:eastAsia="Times New Roman" w:cs="Times New Roman"/>
      <w:b/>
      <w:bCs/>
      <w:color w:val="333333"/>
      <w:sz w:val="32"/>
      <w:szCs w:val="32"/>
    </w:rPr>
  </w:style>
  <w:style w:type="character" w:styleId="Style7" w:customStyle="1">
    <w:name w:val="Текст выноски Знак"/>
    <w:qFormat/>
    <w:rPr>
      <w:rFonts w:ascii="Tahoma" w:hAnsi="Tahoma" w:cs="Tahoma"/>
      <w:color w:val="333333"/>
      <w:sz w:val="16"/>
      <w:szCs w:val="16"/>
    </w:rPr>
  </w:style>
  <w:style w:type="character" w:styleId="Style8">
    <w:name w:val="Выделение"/>
    <w:qFormat/>
    <w:rPr>
      <w:i/>
      <w:iCs/>
    </w:rPr>
  </w:style>
  <w:style w:type="character" w:styleId="Style9" w:customStyle="1">
    <w:name w:val="Верхний колонтитул Знак"/>
    <w:basedOn w:val="DefaultParagraphFont"/>
    <w:uiPriority w:val="99"/>
    <w:qFormat/>
    <w:rPr>
      <w:rFonts w:eastAsia="Times New Roman" w:cs="Times New Roman"/>
      <w:color w:val="333333"/>
      <w:sz w:val="28"/>
      <w:szCs w:val="28"/>
      <w:lang w:val="ru-RU" w:bidi="ar-SA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eastAsia="Times New Roman" w:cs="Times New Roman"/>
      <w:color w:val="333333"/>
      <w:sz w:val="28"/>
      <w:szCs w:val="28"/>
      <w:lang w:val="ru-RU" w:bidi="ar-SA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user2">
    <w:name w:val="Маркеры (user)"/>
    <w:qFormat/>
    <w:rPr>
      <w:rFonts w:ascii="OpenSymbol" w:hAnsi="OpenSymbol" w:eastAsia="OpenSymbol" w:cs="OpenSymbol"/>
    </w:rPr>
  </w:style>
  <w:style w:type="character" w:styleId="11">
    <w:name w:val="Основной текст Знак1"/>
    <w:qFormat/>
    <w:rPr>
      <w:sz w:val="24"/>
      <w:szCs w:val="24"/>
    </w:rPr>
  </w:style>
  <w:style w:type="character" w:styleId="Style11">
    <w:name w:val="Выделение жирным"/>
    <w:qFormat/>
    <w:rPr>
      <w:b/>
      <w:bCs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3">
    <w:name w:val="WW8Num16z3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/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i w:val="false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color w:val="00000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jc w:val="both"/>
    </w:pPr>
    <w:rPr>
      <w:color w:val="000000"/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user3" w:customStyle="1">
    <w:name w:val="Заголовок (user)"/>
    <w:basedOn w:val="Normal"/>
    <w:next w:val="BodyText"/>
    <w:qFormat/>
    <w:pPr>
      <w:jc w:val="center"/>
    </w:pPr>
    <w:rPr>
      <w:color w:val="000000"/>
    </w:rPr>
  </w:style>
  <w:style w:type="paragraph" w:styleId="user4" w:customStyle="1">
    <w:name w:val="Указатель (user)"/>
    <w:basedOn w:val="Normal"/>
    <w:qFormat/>
    <w:pPr>
      <w:suppressLineNumbers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36" w:customStyle="1">
    <w:name w:val="Style36"/>
    <w:basedOn w:val="Normal"/>
    <w:qFormat/>
    <w:pPr>
      <w:widowControl w:val="false"/>
      <w:spacing w:lineRule="exact" w:line="312"/>
      <w:ind w:firstLine="216"/>
    </w:pPr>
    <w:rPr>
      <w:rFonts w:ascii="Trebuchet MS" w:hAnsi="Trebuchet MS" w:cs="Trebuchet MS"/>
      <w:color w:val="000000"/>
      <w:sz w:val="24"/>
      <w:szCs w:val="24"/>
    </w:rPr>
  </w:style>
  <w:style w:type="paragraph" w:styleId="Style34" w:customStyle="1">
    <w:name w:val="Style34"/>
    <w:basedOn w:val="Normal"/>
    <w:qFormat/>
    <w:pPr>
      <w:widowControl w:val="false"/>
      <w:spacing w:lineRule="exact" w:line="302"/>
      <w:ind w:hanging="336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cs="Calibri"/>
      <w:color w:val="000000"/>
      <w:sz w:val="22"/>
      <w:szCs w:val="22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user5" w:customStyle="1">
    <w:name w:val="Содержимое таблицы (user)"/>
    <w:basedOn w:val="Normal"/>
    <w:qFormat/>
    <w:pPr>
      <w:suppressLineNumbers/>
    </w:pPr>
    <w:rPr/>
  </w:style>
  <w:style w:type="paragraph" w:styleId="user6" w:customStyle="1">
    <w:name w:val="Заголовок таблицы (user)"/>
    <w:basedOn w:val="user5"/>
    <w:qFormat/>
    <w:pPr>
      <w:jc w:val="center"/>
    </w:pPr>
    <w:rPr>
      <w:b/>
      <w:bCs/>
    </w:rPr>
  </w:style>
  <w:style w:type="paragraph" w:styleId="Style16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>
    <w:name w:val="Знак Знак Знак"/>
    <w:basedOn w:val="Normal"/>
    <w:qFormat/>
    <w:pPr>
      <w:spacing w:lineRule="exact" w:line="240" w:before="0" w:after="160"/>
    </w:pPr>
    <w:rPr>
      <w:rFonts w:ascii="Verdana" w:hAnsi="Verdana" w:cs="Verdana"/>
      <w:color w:val="000000"/>
      <w:sz w:val="20"/>
      <w:szCs w:val="20"/>
      <w:lang w:val="en-US"/>
    </w:rPr>
  </w:style>
  <w:style w:type="numbering" w:styleId="Style1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CD48A-DD1F-4271-9FB4-9C2843CF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LibreOffice/25.2.2.2$Linux_X86_64 LibreOffice_project/7370d4be9e3cf6031a51beef54ff3bda878e3fac</Application>
  <AppVersion>15.0000</AppVersion>
  <Pages>3</Pages>
  <Words>390</Words>
  <Characters>2845</Characters>
  <CharactersWithSpaces>3241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2021-05-19T17:04:00Z</dcterms:created>
  <dc:creator>Лена</dc:creator>
  <dc:description/>
  <dc:language>en-US</dc:language>
  <cp:lastModifiedBy/>
  <dcterms:modified xsi:type="dcterms:W3CDTF">2026-05-13T15:32:19Z</dcterms:modified>
  <cp:revision>16</cp:revision>
  <dc:subject/>
  <dc:title>Рекомендации по организации методической работы в 2008-2009  учебном году с учителями математики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