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4205" w:type="dxa"/>
        <w:jc w:val="left"/>
        <w:tblInd w:w="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59"/>
        <w:gridCol w:w="5956"/>
        <w:gridCol w:w="5190"/>
      </w:tblGrid>
      <w:tr>
        <w:trPr/>
        <w:tc>
          <w:tcPr>
            <w:tcW w:w="3059" w:type="dxa"/>
            <w:tcBorders/>
          </w:tcPr>
          <w:p>
            <w:pPr>
              <w:pStyle w:val="Style20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i/>
                <w:kern w:val="0"/>
                <w:sz w:val="22"/>
                <w:szCs w:val="22"/>
                <w:lang w:val="ru-RU" w:bidi="ar-SA"/>
              </w:rPr>
              <w:t>Проблемы  в проф. деятельности</w:t>
            </w:r>
          </w:p>
          <w:p>
            <w:pPr>
              <w:pStyle w:val="Style20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i/>
                <w:kern w:val="0"/>
                <w:sz w:val="22"/>
                <w:szCs w:val="22"/>
                <w:lang w:val="ru-RU" w:bidi="ar-SA"/>
              </w:rPr>
              <w:t>(«дефициты»)</w:t>
            </w:r>
          </w:p>
        </w:tc>
        <w:tc>
          <w:tcPr>
            <w:tcW w:w="5956" w:type="dxa"/>
            <w:tcBorders/>
          </w:tcPr>
          <w:p>
            <w:pPr>
              <w:pStyle w:val="Style20"/>
              <w:widowControl w:val="false"/>
              <w:suppressAutoHyphens w:val="true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i/>
                <w:kern w:val="0"/>
                <w:sz w:val="22"/>
                <w:szCs w:val="22"/>
                <w:lang w:val="ru-RU" w:bidi="ar-SA"/>
              </w:rPr>
              <w:t>Направления работы МО и  темы, предлагаемые для рассмотрения</w:t>
            </w:r>
          </w:p>
        </w:tc>
        <w:tc>
          <w:tcPr>
            <w:tcW w:w="51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22"/>
                <w:szCs w:val="22"/>
                <w:lang w:val="ru-RU" w:eastAsia="en-US" w:bidi="ar-SA"/>
              </w:rPr>
              <w:t>Ресурсы (  научно – методическое обеспечение)</w:t>
            </w:r>
          </w:p>
        </w:tc>
      </w:tr>
      <w:tr>
        <w:trPr/>
        <w:tc>
          <w:tcPr>
            <w:tcW w:w="3059" w:type="dxa"/>
            <w:tcBorders/>
          </w:tcPr>
          <w:p>
            <w:pPr>
              <w:pStyle w:val="Style20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Освоение обновлённых  ФГОС ООО, ФГОС СОО, ФОП  ООО,ФОП СОО,ФРП</w:t>
            </w:r>
          </w:p>
        </w:tc>
        <w:tc>
          <w:tcPr>
            <w:tcW w:w="5956" w:type="dxa"/>
            <w:tcBorders/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-36" w:leader="none"/>
              </w:tabs>
              <w:suppressAutoHyphens w:val="true"/>
              <w:bidi w:val="0"/>
              <w:spacing w:lineRule="auto" w:line="240" w:before="0" w:after="0"/>
              <w:ind w:left="113" w:right="-397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ru-RU" w:bidi="ar-SA"/>
              </w:rPr>
              <w:t>Роль МО  в   составлении рабочей программы (РП)  учителя  и календарно- тематического планирования (КТП)  по предметам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bidi w:val="0"/>
              <w:spacing w:lineRule="auto" w:line="240" w:before="0" w:after="0"/>
              <w:ind w:left="170" w:right="0" w:hanging="3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ФГОС ООО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(Приказ Минпросвещения РФ № 287  от 31.05.21г.)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/>
            </w:pPr>
            <w:r>
              <w:rPr>
                <w:rStyle w:val="Style16"/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ФГОС СОО (Приказ Минпросвещения России от 12.08.2022№ 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 (Зарегистрировано в Минюсте России 12.09.2022 N 70034)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/>
            </w:pPr>
            <w:r>
              <w:rPr>
                <w:rStyle w:val="Style16"/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Письмо Министерства просвещения Российской Федерации «О направлении методических рекомендаций» от 15.02.2022 г. № АЗ- 113/03</w:t>
            </w:r>
            <w:hyperlink r:id="rId2" w:tgtFrame="_blank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0000FF"/>
                  <w:spacing w:val="0"/>
                  <w:sz w:val="22"/>
                  <w:szCs w:val="22"/>
                  <w:u w:val="none"/>
                </w:rPr>
                <w:t>https://docs.cntd.ru/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/>
            </w:pPr>
            <w:r>
              <w:rPr>
                <w:rStyle w:val="Style16"/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</w:rPr>
              <w:t>Письмо Министерства Просвещения Российской Федерации от 03.03.2023 № 03-327 «О направлении информации по введению  ФООП»</w:t>
            </w:r>
            <w:r>
              <w:rPr>
                <w:rStyle w:val="Style16"/>
                <w:rFonts w:ascii="Times New Roman" w:hAnsi="Times New Roman"/>
                <w:b w:val="false"/>
                <w:i w:val="false"/>
                <w:caps w:val="false"/>
                <w:smallCaps w:val="false"/>
                <w:color w:val="0000FF"/>
                <w:spacing w:val="0"/>
                <w:sz w:val="22"/>
                <w:szCs w:val="22"/>
                <w:u w:val="none"/>
              </w:rPr>
              <w:t xml:space="preserve"> </w:t>
            </w:r>
            <w:hyperlink r:id="rId3">
              <w:r>
                <w:rPr>
                  <w:rFonts w:ascii="Times New Roman" w:hAnsi="Times New Roman"/>
                  <w:b w:val="false"/>
                  <w:i w:val="false"/>
                  <w:caps w:val="false"/>
                  <w:smallCaps w:val="false"/>
                  <w:color w:val="1155CC"/>
                  <w:spacing w:val="0"/>
                  <w:sz w:val="22"/>
                  <w:szCs w:val="22"/>
                  <w:u w:val="none"/>
                </w:rPr>
                <w:t>https://clck.ru/34BJRu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ФОП ООО (Приказ Министерства Просвещения РФ от 16.11.2022 г.№ 993)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-3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bidi="ar-SA"/>
              </w:rPr>
              <w:t>ФОП СОО (Приказ Министерства Просвещения РФ от 23.11.2022 № 1014)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-36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kern w:val="0"/>
                <w:sz w:val="22"/>
                <w:szCs w:val="22"/>
                <w:lang w:val="ru-RU" w:bidi="ar-SA"/>
              </w:rPr>
              <w:t>Приказ Министерства просвещения Российской Федерации от 21.02.2024 № 119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bidi="ar-SA"/>
              </w:rPr>
              <w:br/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kern w:val="0"/>
                <w:sz w:val="22"/>
                <w:szCs w:val="22"/>
                <w:lang w:val="ru-RU" w:bidi="ar-SA"/>
              </w:rPr>
              <w:t>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bidi="ar-SA"/>
              </w:rPr>
              <w:br/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kern w:val="0"/>
                <w:sz w:val="22"/>
                <w:szCs w:val="22"/>
                <w:lang w:val="ru-RU" w:bidi="ar-SA"/>
              </w:rPr>
              <w:t>(Зарегистрирован  22.03.2024 № 77603)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-36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bidi="ar-SA"/>
              </w:rPr>
              <w:t>NB!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-36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bidi="ar-SA"/>
              </w:rPr>
              <w:t>Роль ( активное участие в оценке, рецензирование и др.)  руководителя МО в экспертизе эффективных образовательныхпрактик и положительного педагогического опыта учителей своей школы  (ОО)  и своего муниципалитета.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-36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bidi="ar-SA"/>
              </w:rPr>
              <w:t>Роль МО  в и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спользовании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bidi="ar-SA"/>
              </w:rPr>
              <w:t>идей  положительного педагогического опыта и образовательных практик, размещенных в РИС БИПП Владимирской области, учителями своей ОО и муниципалитета.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-36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bidi="ar-SA"/>
              </w:rPr>
              <w:t xml:space="preserve">Роль руководителя МО в моделировании членами МО урока в логике ФГОС (разработка механизмов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ru-RU" w:bidi="ar-SA"/>
              </w:rPr>
              <w:t>применения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 xml:space="preserve"> современных  образовательных технологий, применение лингвометодик  на уроках русского языка и литературы)   </w:t>
            </w:r>
            <w:r>
              <w:rPr>
                <w:rFonts w:ascii="Times New Roman" w:hAnsi="Times New Roman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через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 xml:space="preserve"> посещение уроков коллег с анализом и самоанализом, мастер-классы </w:t>
            </w:r>
            <w:r>
              <w:rPr>
                <w:rFonts w:ascii="Times New Roman" w:hAnsi="Times New Roman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(представление  образовательных  практик  на заседаниях МО и представление  опыта работы по  использованию  современных  методик и технологий, применяемых  в моделировании современного урока, соответствующего требованиям обновленных  (ФГОС ООО,ФГОС СОО )</w:t>
            </w:r>
          </w:p>
          <w:p>
            <w:pPr>
              <w:pStyle w:val="Style20"/>
              <w:widowControl w:val="false"/>
              <w:tabs>
                <w:tab w:val="clear" w:pos="708"/>
                <w:tab w:val="left" w:pos="-36" w:leader="none"/>
              </w:tabs>
              <w:suppressAutoHyphens w:val="true"/>
              <w:spacing w:before="0" w:after="0"/>
              <w:ind w:left="360" w:right="-392" w:hanging="0"/>
              <w:jc w:val="left"/>
              <w:rPr>
                <w:rFonts w:ascii="Times New Roman" w:hAnsi="Times New Roman"/>
                <w:b/>
                <w:b/>
                <w:i/>
                <w:i/>
                <w:kern w:val="0"/>
                <w:sz w:val="22"/>
                <w:szCs w:val="22"/>
                <w:lang w:val="ru-RU" w:bidi="ar-SA"/>
              </w:rPr>
            </w:pPr>
            <w:r>
              <w:rPr>
                <w:b/>
                <w:i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519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- Сайт «Единое содержание основного общего образования» </w:t>
            </w:r>
            <w:hyperlink r:id="rId4">
              <w:r>
                <w:rPr>
                  <w:rFonts w:eastAsia="Calibri" w:cs="Times New Roman" w:ascii="Times New Roman" w:hAnsi="Times New Roman"/>
                  <w:b w:val="false"/>
                  <w:bCs w:val="false"/>
                  <w:kern w:val="0"/>
                  <w:sz w:val="22"/>
                  <w:szCs w:val="22"/>
                  <w:lang w:val="ru-RU" w:eastAsia="en-US" w:bidi="ar-SA"/>
                </w:rPr>
                <w:t>https://edsoo.ru/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bidi w:val="0"/>
              <w:spacing w:lineRule="auto" w:line="240" w:before="0" w:after="0"/>
              <w:ind w:left="113" w:right="0" w:hanging="340"/>
              <w:contextualSpacing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Style w:val="Style16"/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Style w:val="Style16"/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https://edsoo.ru/rabochie-programmy/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-36" w:leader="none"/>
              </w:tabs>
              <w:suppressAutoHyphens w:val="true"/>
              <w:spacing w:before="0" w:after="0"/>
              <w:ind w:left="33" w:right="-392" w:hanging="0"/>
              <w:jc w:val="left"/>
              <w:rPr/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>- Реестр ФГОС http://fgosreestr.ru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-36" w:leader="none"/>
              </w:tabs>
              <w:suppressAutoHyphens w:val="true"/>
              <w:spacing w:before="0" w:after="0"/>
              <w:ind w:left="33" w:right="-392" w:hanging="0"/>
              <w:jc w:val="left"/>
              <w:rPr/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  <w:t xml:space="preserve">- ФГИС «Моя школа» </w:t>
            </w:r>
            <w:hyperlink r:id="rId5">
              <w:r>
                <w:rPr>
                  <w:rFonts w:ascii="Times New Roman" w:hAnsi="Times New Roman"/>
                  <w:kern w:val="0"/>
                  <w:sz w:val="22"/>
                  <w:szCs w:val="22"/>
                  <w:lang w:val="ru-RU" w:bidi="ar-SA"/>
                </w:rPr>
                <w:t>https://myschool.edu.ru/</w:t>
              </w:r>
            </w:hyperlink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spacing w:val="0"/>
                <w:kern w:val="0"/>
                <w:sz w:val="22"/>
                <w:szCs w:val="22"/>
                <w:u w:val="none"/>
                <w:effect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spacing w:val="0"/>
                <w:kern w:val="0"/>
                <w:sz w:val="22"/>
                <w:szCs w:val="22"/>
                <w:u w:val="none"/>
                <w:effect w:val="none"/>
                <w:lang w:val="ru-RU" w:eastAsia="en-US" w:bidi="ar-SA"/>
              </w:rPr>
              <w:t>-РИС БИПП Владимирской области  https://педагог.образование33.рф/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6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  <w:tr>
        <w:trPr/>
        <w:tc>
          <w:tcPr>
            <w:tcW w:w="3059" w:type="dxa"/>
            <w:tcBorders/>
          </w:tcPr>
          <w:p>
            <w:pPr>
              <w:pStyle w:val="Style20"/>
              <w:widowControl w:val="false"/>
              <w:tabs>
                <w:tab w:val="clear" w:pos="708"/>
                <w:tab w:val="left" w:pos="-36" w:leader="none"/>
              </w:tabs>
              <w:suppressAutoHyphens w:val="true"/>
              <w:spacing w:before="0" w:after="0"/>
              <w:ind w:right="-392" w:hanging="0"/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Style20"/>
              <w:widowControl w:val="false"/>
              <w:tabs>
                <w:tab w:val="clear" w:pos="708"/>
                <w:tab w:val="left" w:pos="-36" w:leader="none"/>
              </w:tabs>
              <w:suppressAutoHyphens w:val="true"/>
              <w:spacing w:before="0" w:after="0"/>
              <w:ind w:right="-392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val="ru-RU" w:bidi="ar-SA"/>
              </w:rPr>
              <w:t>Формирование коммуникативной компетенции  и  читательской</w:t>
            </w:r>
          </w:p>
          <w:p>
            <w:pPr>
              <w:pStyle w:val="Style20"/>
              <w:widowControl w:val="false"/>
              <w:tabs>
                <w:tab w:val="clear" w:pos="708"/>
                <w:tab w:val="left" w:pos="-36" w:leader="none"/>
              </w:tabs>
              <w:suppressAutoHyphens w:val="true"/>
              <w:spacing w:before="0" w:after="0"/>
              <w:ind w:right="-392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val="ru-RU" w:bidi="ar-SA"/>
              </w:rPr>
              <w:t>грамотности</w:t>
            </w:r>
          </w:p>
          <w:p>
            <w:pPr>
              <w:pStyle w:val="Style20"/>
              <w:widowControl w:val="false"/>
              <w:tabs>
                <w:tab w:val="clear" w:pos="708"/>
                <w:tab w:val="left" w:pos="-36" w:leader="none"/>
              </w:tabs>
              <w:suppressAutoHyphens w:val="true"/>
              <w:spacing w:before="0" w:after="0"/>
              <w:ind w:right="-392" w:hanging="0"/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Style20"/>
              <w:widowControl w:val="false"/>
              <w:tabs>
                <w:tab w:val="clear" w:pos="708"/>
                <w:tab w:val="left" w:pos="-36" w:leader="none"/>
              </w:tabs>
              <w:suppressAutoHyphens w:val="true"/>
              <w:spacing w:before="0" w:after="0"/>
              <w:ind w:right="-392" w:hanging="0"/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Style20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i/>
                <w:i/>
                <w:kern w:val="0"/>
                <w:sz w:val="22"/>
                <w:szCs w:val="22"/>
                <w:lang w:val="ru-RU" w:bidi="ar-SA"/>
              </w:rPr>
            </w:pPr>
            <w:r>
              <w:rPr>
                <w:b/>
                <w:i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5956" w:type="dxa"/>
            <w:tcBorders>
              <w:bottom w:val="nil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right="-391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Формирование  коммуникативной компетенции и читательской грамотности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370" w:leader="none"/>
              </w:tabs>
              <w:suppressAutoHyphens w:val="true"/>
              <w:spacing w:before="0" w:after="0"/>
              <w:ind w:left="0" w:right="-391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 xml:space="preserve">на </w:t>
            </w:r>
            <w:r>
              <w:rPr>
                <w:bCs/>
                <w:color w:val="000000"/>
                <w:kern w:val="0"/>
                <w:sz w:val="22"/>
                <w:szCs w:val="22"/>
                <w:lang w:val="ru-RU" w:bidi="ar-SA"/>
              </w:rPr>
              <w:t>совместных заседаниях МО  (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val="ru-RU" w:bidi="ar-SA"/>
              </w:rPr>
              <w:t xml:space="preserve">практикумах ) </w:t>
            </w:r>
            <w:r>
              <w:rPr>
                <w:bCs/>
                <w:color w:val="000000"/>
                <w:kern w:val="0"/>
                <w:sz w:val="22"/>
                <w:szCs w:val="22"/>
                <w:lang w:val="ru-RU" w:bidi="ar-SA"/>
              </w:rPr>
              <w:t>учителей</w:t>
            </w:r>
          </w:p>
          <w:p>
            <w:pPr>
              <w:pStyle w:val="Style20"/>
              <w:widowControl w:val="false"/>
              <w:tabs>
                <w:tab w:val="clear" w:pos="708"/>
                <w:tab w:val="left" w:pos="-36" w:leader="none"/>
              </w:tabs>
              <w:suppressAutoHyphens w:val="true"/>
              <w:bidi w:val="0"/>
              <w:spacing w:lineRule="auto" w:line="240" w:before="0" w:after="0"/>
              <w:ind w:left="113" w:right="-113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val="ru-RU" w:bidi="ar-SA"/>
              </w:rPr>
              <w:t>русского языка  и литературы и учителей начальных классов по подготовке к ВПР; русского языка  и литературы и  истории и обществознания; русского языка  и литературы и иностранных языков  по р</w:t>
            </w:r>
            <w:r>
              <w:rPr>
                <w:b w:val="false"/>
                <w:bCs w:val="false"/>
                <w:color w:val="000000"/>
                <w:kern w:val="0"/>
                <w:sz w:val="22"/>
                <w:szCs w:val="22"/>
                <w:lang w:val="ru-RU" w:bidi="ar-SA"/>
              </w:rPr>
              <w:t xml:space="preserve">азвитию  метапредмедметных  УУД  и  </w:t>
            </w:r>
            <w:r>
              <w:rPr>
                <w:bCs/>
                <w:color w:val="000000"/>
                <w:kern w:val="0"/>
                <w:sz w:val="22"/>
                <w:szCs w:val="22"/>
                <w:lang w:val="ru-RU" w:bidi="ar-SA"/>
              </w:rPr>
              <w:t>формированию читательской грамотности.</w:t>
            </w:r>
          </w:p>
          <w:p>
            <w:pPr>
              <w:pStyle w:val="Style20"/>
              <w:widowControl w:val="false"/>
              <w:suppressAutoHyphens w:val="true"/>
              <w:spacing w:before="0" w:after="0"/>
              <w:jc w:val="both"/>
              <w:rPr>
                <w:rFonts w:eastAsia="" w:cs="Times New Roman"/>
                <w:kern w:val="0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</w:t>
            </w:r>
            <w:r>
              <w:rPr>
                <w:rFonts w:cs="Times New Roman" w:ascii="Times New Roman" w:hAnsi="Times New Roman"/>
                <w:b/>
                <w:bCs/>
                <w:i/>
                <w:kern w:val="0"/>
                <w:sz w:val="22"/>
                <w:szCs w:val="22"/>
                <w:lang w:val="ru-RU" w:eastAsia="ru-RU" w:bidi="ar-SA"/>
              </w:rPr>
              <w:t>Обмен опытом работы.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Представление  методов и приемов по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реализации 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 xml:space="preserve"> совместной деятельности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как отдельного  планируемого метапредметного результата на уроках и во внеурочной деятельности.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ru-RU" w:eastAsia="ru-RU" w:bidi="ar-SA"/>
              </w:rPr>
              <w:t>Создание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р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ru-RU" w:bidi="ar-SA"/>
              </w:rPr>
              <w:t>абочей группы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ФГОС ООО, ФГОС СОО и программы по русскому языку/ литературе: функциональная грамотность (разработка рекомендаций по формированию у обучающихся  умения оценивать собственные учебные достижения и использовать полученные знания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в практической деятельности, подготовке к промежуточной/ итоговой аттестации и повседневной жизни).</w:t>
            </w:r>
          </w:p>
          <w:p>
            <w:pPr>
              <w:pStyle w:val="Style20"/>
              <w:widowControl w:val="false"/>
              <w:tabs>
                <w:tab w:val="clear" w:pos="708"/>
                <w:tab w:val="left" w:pos="-36" w:leader="none"/>
              </w:tabs>
              <w:suppressAutoHyphens w:val="true"/>
              <w:spacing w:before="0" w:after="0"/>
              <w:ind w:left="360" w:right="-392" w:hanging="0"/>
              <w:jc w:val="both"/>
              <w:rPr>
                <w:rFonts w:ascii="Times New Roman" w:hAnsi="Times New Roman" w:eastAsia="" w:cs="Times New Roman"/>
                <w:color w:val="0000FF" w:themeColor="hyperlink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>
              <w:rPr>
                <w:rFonts w:eastAsia="" w:cs="Times New Roman"/>
                <w:color w:val="0000FF" w:themeColor="hyperlink"/>
                <w:kern w:val="0"/>
                <w:sz w:val="22"/>
                <w:szCs w:val="22"/>
                <w:u w:val="single"/>
                <w:lang w:val="ru-RU" w:eastAsia="ru-RU" w:bidi="ar-SA"/>
              </w:rPr>
            </w:r>
          </w:p>
        </w:tc>
        <w:tc>
          <w:tcPr>
            <w:tcW w:w="5190" w:type="dxa"/>
            <w:tcBorders/>
          </w:tcPr>
          <w:p>
            <w:pPr>
              <w:pStyle w:val="Style20"/>
              <w:widowControl w:val="false"/>
              <w:tabs>
                <w:tab w:val="clear" w:pos="708"/>
                <w:tab w:val="left" w:pos="-36" w:leader="none"/>
              </w:tabs>
              <w:suppressAutoHyphens w:val="true"/>
              <w:spacing w:before="0" w:after="0"/>
              <w:ind w:left="33" w:right="-392" w:hanging="0"/>
              <w:jc w:val="left"/>
              <w:rPr/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1. </w:t>
            </w:r>
            <w:hyperlink r:id="rId6">
              <w:r>
                <w:rPr>
                  <w:kern w:val="0"/>
                  <w:sz w:val="22"/>
                  <w:szCs w:val="22"/>
                  <w:lang w:val="ru-RU" w:bidi="ar-SA"/>
                </w:rPr>
                <w:t>http://fgosreestr.ru</w:t>
              </w:r>
            </w:hyperlink>
          </w:p>
          <w:p>
            <w:pPr>
              <w:pStyle w:val="Normal"/>
              <w:widowControl w:val="false"/>
              <w:ind w:left="34" w:hanging="0"/>
              <w:jc w:val="both"/>
              <w:rPr>
                <w:rStyle w:val="Style16"/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2..</w:t>
            </w:r>
            <w:hyperlink r:id="rId7" w:tgtFrame="_blank">
              <w:r>
                <w:rPr>
                  <w:rFonts w:ascii="Times New Roman" w:hAnsi="Times New Roman"/>
                  <w:strike w:val="false"/>
                  <w:dstrike w:val="false"/>
                  <w:color w:val="000000"/>
                  <w:kern w:val="2"/>
                  <w:sz w:val="22"/>
                  <w:szCs w:val="22"/>
                  <w:u w:val="none"/>
                  <w:effect w:val="none"/>
                </w:rPr>
                <w:t>Открытый </w:t>
              </w:r>
              <w:r>
                <w:rPr>
                  <w:rFonts w:ascii="Times New Roman" w:hAnsi="Times New Roman"/>
                  <w:b/>
                  <w:strike w:val="false"/>
                  <w:dstrike w:val="false"/>
                  <w:color w:val="000000"/>
                  <w:kern w:val="2"/>
                  <w:sz w:val="22"/>
                  <w:szCs w:val="22"/>
                  <w:u w:val="none"/>
                  <w:effect w:val="none"/>
                </w:rPr>
                <w:t>банк</w:t>
              </w:r>
              <w:r>
                <w:rPr>
                  <w:rFonts w:ascii="Times New Roman" w:hAnsi="Times New Roman"/>
                  <w:strike w:val="false"/>
                  <w:dstrike w:val="false"/>
                  <w:color w:val="000000"/>
                  <w:kern w:val="2"/>
                  <w:sz w:val="22"/>
                  <w:szCs w:val="22"/>
                  <w:u w:val="none"/>
                  <w:effect w:val="none"/>
                </w:rPr>
                <w:t> </w:t>
              </w:r>
              <w:r>
                <w:rPr>
                  <w:rFonts w:ascii="Times New Roman" w:hAnsi="Times New Roman"/>
                  <w:b/>
                  <w:strike w:val="false"/>
                  <w:dstrike w:val="false"/>
                  <w:color w:val="000000"/>
                  <w:kern w:val="2"/>
                  <w:sz w:val="22"/>
                  <w:szCs w:val="22"/>
                  <w:u w:val="none"/>
                  <w:effect w:val="none"/>
                </w:rPr>
                <w:t>заданий</w:t>
              </w:r>
              <w:r>
                <w:rPr>
                  <w:rFonts w:ascii="Times New Roman" w:hAnsi="Times New Roman"/>
                  <w:strike w:val="false"/>
                  <w:dstrike w:val="false"/>
                  <w:color w:val="000000"/>
                  <w:kern w:val="2"/>
                  <w:sz w:val="22"/>
                  <w:szCs w:val="22"/>
                  <w:u w:val="none"/>
                  <w:effect w:val="none"/>
                </w:rPr>
                <w:t> для оценки </w:t>
              </w:r>
              <w:r>
                <w:rPr>
                  <w:rFonts w:ascii="Times New Roman" w:hAnsi="Times New Roman"/>
                  <w:b/>
                  <w:strike w:val="false"/>
                  <w:dstrike w:val="false"/>
                  <w:color w:val="000000"/>
                  <w:kern w:val="2"/>
                  <w:sz w:val="22"/>
                  <w:szCs w:val="22"/>
                  <w:u w:val="none"/>
                  <w:effect w:val="none"/>
                </w:rPr>
                <w:t>читательской</w:t>
              </w:r>
            </w:hyperlink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kern w:val="2"/>
                <w:sz w:val="22"/>
                <w:szCs w:val="22"/>
                <w:u w:val="none"/>
                <w:effect w:val="none"/>
              </w:rPr>
              <w:t xml:space="preserve"> грамотности    </w:t>
            </w:r>
            <w:hyperlink r:id="rId8">
              <w:r>
                <w:rPr>
                  <w:rFonts w:ascii="Times New Roman" w:hAnsi="Times New Roman"/>
                  <w:color w:val="000000"/>
                  <w:kern w:val="2"/>
                  <w:sz w:val="22"/>
                  <w:szCs w:val="22"/>
                </w:rPr>
                <w:t>https://fipi.ru/otkrytyy-bank-zadani-chitatelskoi-gramotnosti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-36" w:leader="none"/>
              </w:tabs>
              <w:suppressAutoHyphens w:val="true"/>
              <w:spacing w:before="0" w:after="200"/>
              <w:ind w:left="34" w:hanging="0"/>
              <w:jc w:val="both"/>
              <w:rPr/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  <w:lang w:val="ru-RU" w:bidi="ar-SA"/>
              </w:rPr>
              <w:t>3. Банк заданий по формированию функциональной грамотности (читательская, математическая, естественно-научная, финансовая, глобальные компетенции, креативное мышление)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val="ru-RU" w:bidi="ar-SA"/>
              </w:rPr>
              <w:t xml:space="preserve"> </w:t>
            </w:r>
            <w:hyperlink r:id="rId9">
              <w:r>
                <w:rPr>
                  <w:rFonts w:ascii="Times New Roman" w:hAnsi="Times New Roman"/>
                  <w:kern w:val="2"/>
                  <w:sz w:val="22"/>
                  <w:szCs w:val="22"/>
                  <w:lang w:val="ru-RU" w:bidi="ar-SA"/>
                </w:rPr>
                <w:t>https://skiv1.instrao.ru/bank-zadaniy/</w:t>
              </w:r>
            </w:hyperlink>
          </w:p>
          <w:p>
            <w:pPr>
              <w:pStyle w:val="Style20"/>
              <w:widowControl w:val="false"/>
              <w:tabs>
                <w:tab w:val="clear" w:pos="708"/>
                <w:tab w:val="left" w:pos="-36" w:leader="none"/>
                <w:tab w:val="left" w:pos="0" w:leader="none"/>
              </w:tabs>
              <w:suppressAutoHyphens w:val="true"/>
              <w:spacing w:before="0" w:after="0"/>
              <w:ind w:right="-392" w:hanging="0"/>
              <w:jc w:val="left"/>
              <w:rPr>
                <w:rFonts w:ascii="Times New Roman" w:hAnsi="Times New Roman"/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3059" w:type="dxa"/>
            <w:tcBorders/>
          </w:tcPr>
          <w:p>
            <w:pPr>
              <w:pStyle w:val="Style20"/>
              <w:widowControl w:val="false"/>
              <w:tabs>
                <w:tab w:val="clear" w:pos="708"/>
                <w:tab w:val="left" w:pos="252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Воспитательный потенциал   уроков русского языка и литературы и внеурочной деятельности по предмету</w:t>
            </w:r>
          </w:p>
        </w:tc>
        <w:tc>
          <w:tcPr>
            <w:tcW w:w="5956" w:type="dxa"/>
            <w:tcBorders>
              <w:bottom w:val="nil"/>
            </w:tcBorders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right="-391" w:firstLine="3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Представление и обобщение опыта  работы по созданию  банка данных на школьном, муниципальном уровнях</w:t>
            </w:r>
          </w:p>
          <w:p>
            <w:pPr>
              <w:pStyle w:val="Style20"/>
              <w:widowControl w:val="false"/>
              <w:suppressAutoHyphens w:val="true"/>
              <w:spacing w:before="0" w:after="0"/>
              <w:ind w:left="34" w:right="-391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(видеоуроки, мастер – классы, открытые мероприятия в рамках предметных недель и декад,  методические разработки уроков  и внеурочных занятий)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1. Использование результатов краеведческой работы  в учебном процессе</w:t>
            </w:r>
            <w:r>
              <w:rPr>
                <w:rFonts w:eastAsia="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ru-RU" w:eastAsia="ru-RU" w:bidi="ar-SA"/>
              </w:rPr>
              <w:t xml:space="preserve"> (из опыта работы).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2.  Обмен опытом работы по организации внеурочной деятельности по предмету.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>3.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Организация  проектной  деятельности     при подготовке выпускников 9-х и 11-х классов к защите выпускного индивидуального проекта  </w:t>
            </w:r>
            <w:r>
              <w:rPr>
                <w:rFonts w:eastAsia="" w:cs="Times New Roman" w:ascii="Times New Roman" w:hAnsi="Times New Roman"/>
                <w:bCs/>
                <w:i/>
                <w:kern w:val="0"/>
                <w:sz w:val="22"/>
                <w:szCs w:val="22"/>
                <w:lang w:val="ru-RU" w:eastAsia="ru-RU" w:bidi="ar-SA"/>
              </w:rPr>
              <w:t>(</w:t>
            </w:r>
            <w:r>
              <w:rPr>
                <w:rFonts w:eastAsia="" w:cs="Times New Roman" w:ascii="Times New Roman" w:hAnsi="Times New Roman"/>
                <w:b w:val="false"/>
                <w:bCs w:val="false"/>
                <w:i/>
                <w:kern w:val="0"/>
                <w:sz w:val="22"/>
                <w:szCs w:val="22"/>
                <w:lang w:val="ru-RU" w:eastAsia="ru-RU" w:bidi="ar-SA"/>
              </w:rPr>
              <w:t>из опыта работы).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2"/>
                <w:szCs w:val="22"/>
                <w:lang w:val="ru-RU" w:eastAsia="ru-RU" w:bidi="ar-SA"/>
              </w:rPr>
              <w:t xml:space="preserve">4.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ланирование  учебно-воспитательной работы, посвященной  знаменательным событиям отечественной и всемирной истории, юбилеям писателей  и деятелей культуры.</w:t>
            </w:r>
          </w:p>
        </w:tc>
        <w:tc>
          <w:tcPr>
            <w:tcW w:w="5190" w:type="dxa"/>
            <w:tcBorders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/>
            </w:pPr>
            <w:r>
              <w:rPr>
                <w:b w:val="false"/>
                <w:bCs w:val="false"/>
                <w:caps w:val="false"/>
                <w:smallCaps w:val="false"/>
                <w:strike w:val="false"/>
                <w:dstrike w:val="false"/>
                <w:kern w:val="0"/>
                <w:sz w:val="22"/>
                <w:szCs w:val="22"/>
                <w:u w:val="none"/>
                <w:effect w:val="none"/>
                <w:lang w:val="ru-RU" w:bidi="ar-SA"/>
              </w:rPr>
              <w:t xml:space="preserve">РИС БИПП </w:t>
            </w:r>
            <w:hyperlink r:id="rId10" w:tgtFrame="_blank">
              <w:r>
                <w:rPr>
                  <w:b w:val="false"/>
                  <w:bCs w:val="false"/>
                  <w:caps w:val="false"/>
                  <w:smallCaps w:val="false"/>
                  <w:strike w:val="false"/>
                  <w:dstrike w:val="false"/>
                  <w:kern w:val="0"/>
                  <w:sz w:val="22"/>
                  <w:szCs w:val="22"/>
                  <w:u w:val="none"/>
                  <w:effect w:val="none"/>
                  <w:lang w:val="ru-RU" w:bidi="ar-SA"/>
                </w:rPr>
                <w:t>педагог.образование33.рф</w:t>
              </w:r>
            </w:hyperlink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/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Концепция программы поддержки детского и юношеского чтения (Распоряжение от 3 июня 2017 года № 1155-р) http://docs.cntd.ru/document/436739637</w:t>
            </w:r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52C2D"/>
                <w:spacing w:val="0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52C2D"/>
                <w:spacing w:val="0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252C2D"/>
                <w:spacing w:val="0"/>
                <w:kern w:val="0"/>
                <w:sz w:val="22"/>
                <w:szCs w:val="22"/>
                <w:lang w:val="ru-RU" w:bidi="ar-SA"/>
              </w:rPr>
              <w:t xml:space="preserve">Современные российские писатели </w:t>
            </w:r>
            <w:hyperlink r:id="rId11">
              <w:r>
                <w:rPr>
                  <w:b w:val="false"/>
                  <w:bCs w:val="false"/>
                  <w:i w:val="false"/>
                  <w:caps w:val="false"/>
                  <w:smallCaps w:val="false"/>
                  <w:color w:val="252C2D"/>
                  <w:spacing w:val="0"/>
                  <w:kern w:val="0"/>
                  <w:sz w:val="22"/>
                  <w:szCs w:val="22"/>
                  <w:lang w:val="ru-RU" w:bidi="ar-SA"/>
                </w:rPr>
                <w:t>https://daily.afisha.ru/culture/26027-6-novyh-knig-dlya-detey-i-roditeley/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252C2D"/>
                <w:spacing w:val="0"/>
                <w:kern w:val="0"/>
                <w:sz w:val="22"/>
                <w:szCs w:val="22"/>
                <w:lang w:val="ru-RU" w:bidi="ar-SA"/>
              </w:rPr>
              <w:t xml:space="preserve"> (лучшие книги 2024 г.о подростках)</w:t>
            </w:r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52C2D"/>
                <w:spacing w:val="0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52C2D"/>
                <w:spacing w:val="0"/>
                <w:kern w:val="0"/>
                <w:sz w:val="22"/>
                <w:szCs w:val="22"/>
                <w:lang w:val="ru-RU" w:bidi="ar-SA"/>
              </w:rPr>
              <w:t>Герман Садулаев</w:t>
            </w:r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52C2D"/>
                <w:spacing w:val="0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52C2D"/>
                <w:spacing w:val="0"/>
                <w:kern w:val="0"/>
                <w:sz w:val="22"/>
                <w:szCs w:val="22"/>
                <w:lang w:val="ru-RU" w:bidi="ar-SA"/>
              </w:rPr>
              <w:t>Александр Проханов</w:t>
            </w:r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52C2D"/>
                <w:spacing w:val="0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52C2D"/>
                <w:spacing w:val="0"/>
                <w:kern w:val="0"/>
                <w:sz w:val="22"/>
                <w:szCs w:val="22"/>
                <w:lang w:val="ru-RU" w:bidi="ar-SA"/>
              </w:rPr>
              <w:t>Михаил Тарковский</w:t>
            </w:r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52C2D"/>
                <w:spacing w:val="0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52C2D"/>
                <w:spacing w:val="0"/>
                <w:kern w:val="0"/>
                <w:sz w:val="22"/>
                <w:szCs w:val="22"/>
                <w:lang w:val="ru-RU" w:bidi="ar-SA"/>
              </w:rPr>
              <w:t>Александр Терехов</w:t>
            </w:r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52C2D"/>
                <w:spacing w:val="0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52C2D"/>
                <w:spacing w:val="0"/>
                <w:kern w:val="0"/>
                <w:sz w:val="22"/>
                <w:szCs w:val="22"/>
                <w:lang w:val="ru-RU" w:bidi="ar-SA"/>
              </w:rPr>
              <w:t>Алексей Варламов</w:t>
            </w:r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52C2D"/>
                <w:spacing w:val="0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52C2D"/>
                <w:spacing w:val="0"/>
                <w:kern w:val="0"/>
                <w:sz w:val="22"/>
                <w:szCs w:val="22"/>
                <w:lang w:val="ru-RU" w:bidi="ar-SA"/>
              </w:rPr>
              <w:t>Леонид Юзефович</w:t>
            </w:r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52C2D"/>
                <w:spacing w:val="0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52C2D"/>
                <w:spacing w:val="0"/>
                <w:kern w:val="0"/>
                <w:sz w:val="22"/>
                <w:szCs w:val="22"/>
                <w:lang w:val="ru-RU" w:bidi="ar-SA"/>
              </w:rPr>
              <w:t>Павел Крусанов</w:t>
            </w:r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52C2D"/>
                <w:spacing w:val="0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52C2D"/>
                <w:spacing w:val="0"/>
                <w:kern w:val="0"/>
                <w:sz w:val="22"/>
                <w:szCs w:val="22"/>
                <w:lang w:val="ru-RU" w:bidi="ar-SA"/>
              </w:rPr>
              <w:t>Олег Ермаков</w:t>
            </w:r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52C2D"/>
                <w:spacing w:val="0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252C2D"/>
                <w:spacing w:val="0"/>
                <w:kern w:val="0"/>
                <w:sz w:val="22"/>
                <w:szCs w:val="22"/>
                <w:lang w:val="ru-RU" w:bidi="ar-SA"/>
              </w:rPr>
              <w:t>Алексей Иванов</w:t>
            </w:r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Евгений Водолазкин</w:t>
            </w:r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Книги для детей и родителей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0"/>
              <w:jc w:val="left"/>
              <w:rPr/>
            </w:pPr>
            <w:hyperlink r:id="rId12">
              <w:r>
                <w:rPr>
                  <w:b w:val="false"/>
                  <w:bCs w:val="false"/>
                  <w:kern w:val="0"/>
                  <w:sz w:val="22"/>
                  <w:szCs w:val="22"/>
                  <w:lang w:val="ru-RU" w:bidi="ar-SA"/>
                </w:rPr>
                <w:t>https://daily.afisha.ru/culture/26027-6-novyh-knig-dlya-detey-i-roditeley/</w:t>
              </w:r>
            </w:hyperlink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caps w:val="false"/>
                <w:smallCaps w:val="false"/>
                <w:color w:val="2F2F2F"/>
                <w:spacing w:val="0"/>
                <w:kern w:val="0"/>
                <w:sz w:val="22"/>
                <w:szCs w:val="22"/>
                <w:lang w:val="ru-RU" w:eastAsia="en-US" w:bidi="ar-SA"/>
              </w:rPr>
              <w:t>Книги для подростков за 2023 год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0"/>
              <w:jc w:val="left"/>
              <w:rPr/>
            </w:pPr>
            <w:hyperlink r:id="rId13">
              <w:r>
                <w:rPr>
                  <w:b w:val="false"/>
                  <w:bCs w:val="false"/>
                  <w:kern w:val="0"/>
                  <w:sz w:val="22"/>
                  <w:szCs w:val="22"/>
                  <w:lang w:val="ru-RU" w:bidi="ar-SA"/>
                </w:rPr>
                <w:t>https://bibliogid.ru/knigi/tematicheskie-obzory/17046-yarkie-knigi-dlya-podrostkov-za-2023-god-pyat-istorij-sovremennykh-avtorov</w:t>
              </w:r>
            </w:hyperlink>
          </w:p>
          <w:p>
            <w:pPr>
              <w:pStyle w:val="Style20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Список  новинок детской и подростковой литературы</w:t>
            </w:r>
          </w:p>
          <w:p>
            <w:pPr>
              <w:pStyle w:val="Style20"/>
              <w:widowControl w:val="false"/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/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https://www.livelib.ru/selection/2594920-100-luchshih-novyh-knig-dlya-detej-i-podrostkov-2023</w:t>
            </w:r>
          </w:p>
          <w:p>
            <w:pPr>
              <w:pStyle w:val="Style20"/>
              <w:widowControl w:val="false"/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Style20"/>
              <w:widowControl w:val="false"/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Style20"/>
              <w:widowControl w:val="false"/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b w:val="false"/>
                <w:b w:val="false"/>
                <w:bCs w:val="false"/>
                <w:kern w:val="0"/>
                <w:lang w:val="ru-RU" w:bidi="ar-SA"/>
              </w:rPr>
            </w:pPr>
            <w:r>
              <w:rPr>
                <w:b w:val="false"/>
                <w:bCs w:val="false"/>
                <w:kern w:val="0"/>
                <w:lang w:val="ru-RU" w:bidi="ar-SA"/>
              </w:rPr>
            </w:r>
          </w:p>
          <w:p>
            <w:pPr>
              <w:pStyle w:val="Style20"/>
              <w:widowControl w:val="false"/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b w:val="false"/>
                <w:b w:val="false"/>
                <w:bCs w:val="false"/>
                <w:kern w:val="0"/>
                <w:lang w:val="ru-RU" w:bidi="ar-SA"/>
              </w:rPr>
            </w:pPr>
            <w:r>
              <w:rPr>
                <w:b w:val="false"/>
                <w:bCs w:val="false"/>
                <w:kern w:val="0"/>
                <w:lang w:val="ru-RU" w:bidi="ar-SA"/>
              </w:rPr>
            </w:r>
          </w:p>
          <w:p>
            <w:pPr>
              <w:pStyle w:val="1"/>
              <w:widowControl w:val="false"/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lineRule="auto" w:line="240" w:before="0" w:after="0"/>
              <w:ind w:left="0" w:hanging="36"/>
              <w:contextualSpacing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2F2F2F"/>
                <w:spacing w:val="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2F2F2F"/>
                <w:spacing w:val="0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  <w:p>
            <w:pPr>
              <w:pStyle w:val="Style20"/>
              <w:widowControl w:val="false"/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-</w:t>
            </w:r>
          </w:p>
          <w:p>
            <w:pPr>
              <w:pStyle w:val="Style20"/>
              <w:widowControl w:val="false"/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b w:val="false"/>
                <w:b w:val="false"/>
                <w:bCs w:val="false"/>
                <w:kern w:val="0"/>
                <w:lang w:val="ru-RU" w:bidi="ar-SA"/>
              </w:rPr>
            </w:pPr>
            <w:r>
              <w:rPr>
                <w:b w:val="false"/>
                <w:bCs w:val="false"/>
                <w:kern w:val="0"/>
                <w:lang w:val="ru-RU" w:bidi="ar-SA"/>
              </w:rPr>
            </w:r>
          </w:p>
          <w:p>
            <w:pPr>
              <w:pStyle w:val="Style20"/>
              <w:widowControl w:val="false"/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before="0" w:after="0"/>
              <w:ind w:left="0" w:hanging="36"/>
              <w:jc w:val="left"/>
              <w:rPr>
                <w:b w:val="false"/>
                <w:b w:val="false"/>
                <w:bCs w:val="false"/>
                <w:kern w:val="0"/>
                <w:lang w:val="ru-RU" w:bidi="ar-SA"/>
              </w:rPr>
            </w:pPr>
            <w:r>
              <w:rPr>
                <w:b w:val="false"/>
                <w:bCs w:val="false"/>
                <w:kern w:val="0"/>
                <w:lang w:val="ru-RU" w:bidi="ar-SA"/>
              </w:rPr>
            </w:r>
          </w:p>
          <w:p>
            <w:pPr>
              <w:pStyle w:val="Style20"/>
              <w:widowControl w:val="false"/>
              <w:suppressAutoHyphens w:val="true"/>
              <w:spacing w:before="0" w:after="0"/>
              <w:ind w:left="34" w:right="-391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0"/>
              <w:widowControl w:val="false"/>
              <w:tabs>
                <w:tab w:val="clear" w:pos="708"/>
                <w:tab w:val="left" w:pos="252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Style20"/>
              <w:widowControl w:val="false"/>
              <w:tabs>
                <w:tab w:val="clear" w:pos="708"/>
                <w:tab w:val="left" w:pos="-36" w:leader="none"/>
              </w:tabs>
              <w:suppressAutoHyphens w:val="true"/>
              <w:spacing w:before="0" w:after="0"/>
              <w:ind w:left="33" w:right="-392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3059" w:type="dxa"/>
            <w:tcBorders/>
          </w:tcPr>
          <w:p>
            <w:pPr>
              <w:pStyle w:val="Style20"/>
              <w:widowControl w:val="false"/>
              <w:tabs>
                <w:tab w:val="clear" w:pos="708"/>
                <w:tab w:val="left" w:pos="252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>Индивидуальная  работа учителей с одарёнными детьми при подготовке к участию различных Всероссийских конкурсов сочинений ( ежегодного ВКС, в том числе «Без срока давности», конкурс о своей культуре на родном языке и др. ) по решению; нестандартных лингвистических задач, в том числе при подготовке к олимпиадам различного уровня</w:t>
            </w:r>
          </w:p>
          <w:p>
            <w:pPr>
              <w:pStyle w:val="Style20"/>
              <w:widowControl w:val="false"/>
              <w:tabs>
                <w:tab w:val="clear" w:pos="708"/>
                <w:tab w:val="left" w:pos="-36" w:leader="none"/>
              </w:tabs>
              <w:suppressAutoHyphens w:val="true"/>
              <w:spacing w:before="0" w:after="0"/>
              <w:ind w:right="-392" w:hanging="0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595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-35" w:firstLine="395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Практикумы. Знакомство с вопросами, выходящими за рамки школьной программы по русскому языку и литературе в  содержании предметов «русский язык» и «литература».</w:t>
            </w:r>
          </w:p>
          <w:p>
            <w:pPr>
              <w:pStyle w:val="Style20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52" w:leader="none"/>
              </w:tabs>
              <w:suppressAutoHyphens w:val="true"/>
              <w:spacing w:before="0" w:after="0"/>
              <w:ind w:left="0" w:firstLine="3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Создание  в образовательной организации (школе)  и муниципалитете картотеки/банка данных (списка)  зарубежной и отечественной художественной литературы</w:t>
            </w:r>
            <w:r>
              <w:rPr>
                <w:b/>
                <w:kern w:val="0"/>
                <w:sz w:val="22"/>
                <w:szCs w:val="22"/>
                <w:lang w:val="ru-RU" w:bidi="ar-SA"/>
              </w:rPr>
              <w:t xml:space="preserve">, </w:t>
            </w:r>
            <w:r>
              <w:rPr>
                <w:kern w:val="0"/>
                <w:sz w:val="22"/>
                <w:szCs w:val="22"/>
                <w:lang w:val="ru-RU" w:bidi="ar-SA"/>
              </w:rPr>
              <w:t>привлекаемой при участии обучающегося в конкурсах по написанию сочинений, в том числе «Без срока давности», а также  в итоговом сочинении в 11 классе и  в творческой части  КИМов ЕГЭ по русскому языку и литературе   в качестве аргументации.</w:t>
            </w:r>
          </w:p>
          <w:p>
            <w:pPr>
              <w:pStyle w:val="Style20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52" w:leader="none"/>
              </w:tabs>
              <w:suppressAutoHyphens w:val="true"/>
              <w:spacing w:before="0" w:after="0"/>
              <w:ind w:left="0" w:firstLine="3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 xml:space="preserve">Создание  « списка литературы «на лето»  по другим учебным предметам  (привлечение литературы </w:t>
            </w:r>
            <w:r>
              <w:rPr>
                <w:b w:val="false"/>
                <w:bCs w:val="false"/>
                <w:kern w:val="0"/>
                <w:sz w:val="22"/>
                <w:szCs w:val="22"/>
                <w:lang w:val="en-US" w:bidi="ar-SA"/>
              </w:rPr>
              <w:t>non</w:t>
            </w: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 xml:space="preserve">- </w:t>
            </w:r>
            <w:r>
              <w:rPr>
                <w:b w:val="false"/>
                <w:bCs w:val="false"/>
                <w:kern w:val="0"/>
                <w:sz w:val="22"/>
                <w:szCs w:val="22"/>
                <w:lang w:val="en-US" w:bidi="ar-SA"/>
              </w:rPr>
              <w:t>fi</w:t>
            </w: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с</w:t>
            </w:r>
            <w:r>
              <w:rPr>
                <w:b w:val="false"/>
                <w:bCs w:val="false"/>
                <w:kern w:val="0"/>
                <w:sz w:val="22"/>
                <w:szCs w:val="22"/>
                <w:lang w:val="en-US" w:bidi="ar-SA"/>
              </w:rPr>
              <w:t>tion</w:t>
            </w: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) по рекомендации учителей – предметников.</w:t>
            </w:r>
          </w:p>
          <w:p>
            <w:pPr>
              <w:pStyle w:val="Style20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52" w:leader="none"/>
              </w:tabs>
              <w:suppressAutoHyphens w:val="true"/>
              <w:spacing w:before="0" w:after="0"/>
              <w:ind w:left="0" w:firstLine="3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Изучение в  рамках урочной  и внеурочной деятельности произведений писателей – представителей литератур народов России,-  которые   должны сопровождаться сообщениями о жизни и творчестве того или иного автора. </w:t>
            </w:r>
            <w:r>
              <w:rPr>
                <w:kern w:val="0"/>
                <w:sz w:val="22"/>
                <w:szCs w:val="22"/>
                <w:lang w:val="ru-RU" w:eastAsia="ar-SA" w:bidi="ar-SA"/>
              </w:rPr>
              <w:t>Анализ предлагаемых для изучения произведений литератур народов России необходимо строить по тому же плану, что и анализ произведений русской литературы.</w:t>
            </w:r>
          </w:p>
          <w:p>
            <w:pPr>
              <w:pStyle w:val="Style20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52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«Открытый урок русского языка»   по соблюдению единого речевого режима  с  привлечением МО других учителей – предметников  </w:t>
            </w:r>
            <w:r>
              <w:rPr>
                <w:bCs/>
                <w:kern w:val="0"/>
                <w:sz w:val="22"/>
                <w:szCs w:val="22"/>
                <w:lang w:val="ru-RU" w:bidi="ar-SA"/>
              </w:rPr>
              <w:t xml:space="preserve"> ко Дню русского языка 6 июня</w:t>
            </w:r>
          </w:p>
          <w:p>
            <w:pPr>
              <w:pStyle w:val="Style20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52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  <w:lang w:val="ru-RU" w:bidi="ar-SA"/>
              </w:rPr>
              <w:t xml:space="preserve">Создание базы данных   интерактивных мероприятий по проведению  Дня русского языка в логике системно – деятельностного подхода с привлечением других учителей – предметников и социума (родительской общественности). Создание базы данных  мероприятий по проведению </w:t>
            </w:r>
            <w:r>
              <w:rPr>
                <w:bCs/>
                <w:iCs/>
                <w:kern w:val="0"/>
                <w:sz w:val="22"/>
                <w:szCs w:val="22"/>
                <w:lang w:val="ru-RU" w:bidi="ar-SA"/>
              </w:rPr>
              <w:t xml:space="preserve">в общеобразовательных  учреждениях  области ежегодного </w:t>
            </w:r>
            <w:r>
              <w:rPr>
                <w:bCs/>
                <w:kern w:val="0"/>
                <w:sz w:val="22"/>
                <w:szCs w:val="22"/>
                <w:lang w:val="ru-RU" w:bidi="ar-SA"/>
              </w:rPr>
              <w:t>всероссийского урока, посвященного Дню  русского языка.</w:t>
            </w:r>
          </w:p>
          <w:p>
            <w:pPr>
              <w:pStyle w:val="Style20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52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  <w:lang w:val="ru-RU" w:bidi="ar-SA"/>
              </w:rPr>
              <w:t>Создание базы данных   интерактивных мероприятий по проведению  Дня родного языка  (21 февраля)  в рамках предметных</w:t>
            </w:r>
          </w:p>
          <w:p>
            <w:pPr>
              <w:pStyle w:val="Style20"/>
              <w:widowControl w:val="false"/>
              <w:tabs>
                <w:tab w:val="clear" w:pos="708"/>
                <w:tab w:val="left" w:pos="252" w:leader="none"/>
              </w:tabs>
              <w:suppressAutoHyphens w:val="true"/>
              <w:spacing w:before="0" w:after="0"/>
              <w:ind w:left="72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  <w:lang w:val="ru-RU" w:bidi="ar-SA"/>
              </w:rPr>
              <w:t>недель/ декад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9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/>
            </w:pPr>
            <w:hyperlink r:id="rId14">
              <w:r>
                <w:rPr>
                  <w:rFonts w:eastAsia="Calibri" w:cs="Times New Roman" w:ascii="Times New Roman" w:hAnsi="Times New Roman"/>
                  <w:b w:val="false"/>
                  <w:bCs w:val="false"/>
                  <w:kern w:val="0"/>
                  <w:sz w:val="22"/>
                  <w:szCs w:val="22"/>
                  <w:lang w:val="ru-RU" w:eastAsia="en-US" w:bidi="ar-SA"/>
                </w:rPr>
                <w:t>http://www.rosolymp.ru/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" w:firstLine="3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ru-RU" w:bidi="ar-SA"/>
              </w:rPr>
              <w:t>Пособие В.В. Иванова и З.А. Потихи "Исторический комментарий к занятиям по русскому языку в средней школе".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" w:firstLine="3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ru-RU" w:bidi="ar-SA"/>
              </w:rPr>
              <w:t>Н.Ю. Штрекер. "Современный русский язык. историческое комментирование".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" w:firstLine="3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ru-RU" w:bidi="ar-SA"/>
              </w:rPr>
              <w:t>Полезен для общей подготовки Б.Ю. Норман. "Русский язык в задачах и ответах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Autospacing="1"/>
              <w:ind w:left="31" w:firstLine="3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создававшиеся писателями на родном (нерусском) языке и переведенные затем на русский язык (к  литературе народов России отнесем  творчество Гузель Яхиной , Расула Гамзатова, Фазиля Искандера, Чингиза Айтматова .Тараса  Шевченко, Ю. Рытхэу, М. Джалиля, Г. Тукая, др.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left"/>
              <w:rPr>
                <w:rFonts w:ascii="Times New Roman" w:hAnsi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059" w:type="dxa"/>
            <w:tcBorders/>
          </w:tcPr>
          <w:p>
            <w:pPr>
              <w:pStyle w:val="Style20"/>
              <w:widowControl w:val="false"/>
              <w:tabs>
                <w:tab w:val="clear" w:pos="708"/>
                <w:tab w:val="left" w:pos="252" w:leader="none"/>
              </w:tabs>
              <w:suppressAutoHyphens w:val="true"/>
              <w:spacing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Специфика изучения русского языка (родного) и литературы (родной):  опыт передовых педагогических практик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56" w:type="dxa"/>
            <w:tcBorders/>
          </w:tcPr>
          <w:p>
            <w:pPr>
              <w:pStyle w:val="Style20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uppressAutoHyphens w:val="true"/>
              <w:spacing w:before="0" w:after="0"/>
              <w:rPr>
                <w:bCs/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   </w:t>
            </w:r>
            <w:r>
              <w:rPr>
                <w:kern w:val="0"/>
                <w:sz w:val="20"/>
                <w:szCs w:val="20"/>
                <w:lang w:val="ru-RU" w:bidi="ar-SA"/>
              </w:rPr>
              <w:t>Моделирование  уроков по  родному (русскому) языку и родной (русской) литературе, дающих представление  о  современном состоянии  и развитии русского литературного языка, русском языке как родном языке в Российской Федерации,  роли родного языка в жизни человека и общества. (Уроки, учебные ситуации, мастер- классы,  представление опыта  рабочих  программ).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190" w:type="dxa"/>
            <w:tcBorders/>
          </w:tcPr>
          <w:p>
            <w:pPr>
              <w:pStyle w:val="Style20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2" w:leader="none"/>
              </w:tabs>
              <w:suppressAutoHyphens w:val="true"/>
              <w:spacing w:before="0" w:after="0"/>
              <w:ind w:left="31" w:firstLine="329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Изучение  новых УМК  Федерального перечня учебников  в логике «Русский родной язык». (Приказ Минпросвещения № 345 от 20.11.2020)  Русский язык. Серия «Сферы» (5-9), линия УМК «Русский язык. Ладыженская Т.А., Бархударов С.Г. и др. (5-9), учебники по как родному (русскому)  языку»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1" w:hanging="76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 рамках празднования Дня русского языка проведение открытых вводных уроков по данной теме,  изучение и представление опыта  проведения открытых уроков и внеклассных мероприятий, дающих представление  о  русском языке как государственном языке РФ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, а также  русском  языке как родном языке.</w:t>
            </w:r>
          </w:p>
        </w:tc>
      </w:tr>
      <w:tr>
        <w:trPr/>
        <w:tc>
          <w:tcPr>
            <w:tcW w:w="3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Дистанционное образование при подготовке к ВПР и ГИА.  Использование дистанционных образовательных технологий в образовательной практике</w:t>
            </w:r>
          </w:p>
        </w:tc>
        <w:tc>
          <w:tcPr>
            <w:tcW w:w="595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Моделирование  уроков по русскому языку, литературе с применением ЭФУ, а также  дистанционных технологий на платформе «Сферум», «Моя школа»</w:t>
            </w:r>
          </w:p>
        </w:tc>
        <w:tc>
          <w:tcPr>
            <w:tcW w:w="519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ind w:left="31" w:firstLine="326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Использовать образовательные  ресурсы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информационно-образовательной среды, объединяющей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ученика, учителя, родителя и открывающей  равный доступ к качественному общему образованию независимо от социокультурных условий, например,    </w:t>
            </w:r>
            <w:hyperlink r:id="rId15">
              <w:r>
                <w:rPr>
                  <w:rFonts w:eastAsia="Times New Roman" w:cs="Times New Roman" w:ascii="Times New Roman" w:hAnsi="Times New Roman"/>
                  <w:color w:val="0000FF"/>
                  <w:kern w:val="0"/>
                  <w:sz w:val="22"/>
                  <w:szCs w:val="22"/>
                  <w:u w:val="single"/>
                  <w:lang w:val="ru-RU" w:eastAsia="ru-RU" w:bidi="ar-SA"/>
                </w:rPr>
                <w:t>https://resh.edu.ru/</w:t>
              </w:r>
            </w:hyperlink>
            <w:r>
              <w:rPr>
                <w:rFonts w:eastAsia="Times New Roman" w:cs="Times New Roman" w:ascii="Times New Roman" w:hAnsi="Times New Roman"/>
                <w:color w:val="0000FF"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 (РЭШ)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31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  <w:hyperlink r:id="rId16">
              <w:r>
                <w:rPr>
                  <w:rFonts w:eastAsia="Times New Roman" w:cs="Times New Roman" w:ascii="Times New Roman" w:hAnsi="Times New Roman"/>
                  <w:kern w:val="0"/>
                  <w:sz w:val="22"/>
                  <w:szCs w:val="22"/>
                  <w:lang w:val="ru-RU" w:eastAsia="ru-RU" w:bidi="ar-SA"/>
                </w:rPr>
                <w:t>https://help.foxford.ru/</w:t>
              </w:r>
            </w:hyperlink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(Фоксфорд)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0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В</w:t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заимодействие опытных учителей русского языка и литературы: наставник - молодой педагог</w:t>
            </w:r>
          </w:p>
        </w:tc>
        <w:tc>
          <w:tcPr>
            <w:tcW w:w="5956" w:type="dxa"/>
            <w:tcBorders>
              <w:top w:val="nil"/>
            </w:tcBorders>
          </w:tcPr>
          <w:p>
            <w:pPr>
              <w:pStyle w:val="Style20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eastAsia="ru-RU" w:bidi="ar-SA"/>
              </w:rPr>
              <w:t>1. Оказание  помощи молодому специалисту при решении вопросов, возникающих в процессе работы, в том числе онлайн консультирование со стороны опытных учителей-наставников.</w:t>
            </w:r>
          </w:p>
          <w:p>
            <w:pPr>
              <w:pStyle w:val="Style20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eastAsia="ru-RU" w:bidi="ar-SA"/>
              </w:rPr>
              <w:t>2. Проведение мастер-класс для молодых педагогов по проектированию уроков, соответствующих принципам ФГОС и предметных Концепций.</w:t>
            </w:r>
          </w:p>
          <w:p>
            <w:pPr>
              <w:pStyle w:val="Style20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190" w:type="dxa"/>
            <w:tcBorders>
              <w:top w:val="nil"/>
            </w:tcBorders>
          </w:tcPr>
          <w:p>
            <w:pPr>
              <w:pStyle w:val="Style20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 Концепция развития наставничества в РФ</w:t>
            </w:r>
          </w:p>
          <w:p>
            <w:pPr>
              <w:pStyle w:val="Style20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одобрена Президиумом РАО 29.06.2023 </w:t>
            </w:r>
            <w:r>
              <w:rPr>
                <w:rStyle w:val="Style16"/>
                <w:b/>
                <w:bCs/>
                <w:sz w:val="20"/>
                <w:szCs w:val="20"/>
              </w:rPr>
              <w:t>http://bipkro.ru:65000/wp-content/uploads/2023/09/Koncepciya-razvitiya-nastavnichestva-v-Rossijskoj-Federacii.pdf</w:t>
            </w:r>
          </w:p>
          <w:p>
            <w:pPr>
              <w:pStyle w:val="Style20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0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0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left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Современные подходы к оценке образовательных результатов в условиях требований обновленных ФГОС</w:t>
            </w:r>
          </w:p>
        </w:tc>
        <w:tc>
          <w:tcPr>
            <w:tcW w:w="595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/>
              <w:ind w:left="4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1.Система подготовки учащихся к  ВПР и ГИА (ЕГЭ, ОГЭ, ГВЭ) по русскому языку и литератур</w:t>
            </w:r>
          </w:p>
          <w:p>
            <w:pPr>
              <w:pStyle w:val="Normal"/>
              <w:widowControl w:val="false"/>
              <w:spacing w:lineRule="auto" w:line="240"/>
              <w:ind w:left="4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2.Оценивание планируемых результатов освоения основных образовательных программ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spacing w:lineRule="auto" w:line="240"/>
              <w:ind w:left="39" w:hanging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3.Практикумы по решению задач части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ЕГЭ и ОГЭ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spacing w:lineRule="auto" w:line="240"/>
              <w:ind w:left="39" w:hanging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4.Критериальный подход в оценке результатов ВПР по истории и обществознанию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spacing w:lineRule="auto" w:line="240" w:before="0" w:after="200"/>
              <w:ind w:left="39" w:hanging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5.Форма оценки читательской грамотности — письменная работа на межпредметной основе</w:t>
            </w:r>
          </w:p>
        </w:tc>
        <w:tc>
          <w:tcPr>
            <w:tcW w:w="5190" w:type="dxa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176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Демонстрационные варианты  и открытый банк заданий размещены на сайте ФИПИ: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b/>
                  <w:sz w:val="20"/>
                  <w:szCs w:val="20"/>
                </w:rPr>
                <w:t>http://www.fipi.ru/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176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Диагностические и тренировочные работы представлены на сайте СтатГрад: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b/>
                  <w:sz w:val="20"/>
                  <w:szCs w:val="20"/>
                </w:rPr>
                <w:t>https://my-exam.com/statgrad.html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0" w:right="0" w:firstLine="180"/>
              <w:jc w:val="both"/>
              <w:rPr/>
            </w:pPr>
            <w:r>
              <w:rPr>
                <w:rFonts w:eastAsia="Calibri" w:ascii="Times New Roman" w:hAnsi="Times New Roman"/>
                <w:color w:val="111111"/>
                <w:kern w:val="2"/>
                <w:sz w:val="20"/>
                <w:szCs w:val="20"/>
              </w:rPr>
              <w:t xml:space="preserve">ФИОКО Единая система оценки качества образования </w:t>
            </w:r>
            <w:hyperlink r:id="rId19">
              <w:r>
                <w:rPr>
                  <w:rFonts w:eastAsia="Calibri" w:ascii="Times New Roman" w:hAnsi="Times New Roman"/>
                  <w:color w:val="111111"/>
                  <w:kern w:val="2"/>
                  <w:sz w:val="20"/>
                  <w:szCs w:val="20"/>
                  <w:u w:val="none"/>
                </w:rPr>
                <w:t>https://fioco.ru/ru/osoko</w:t>
              </w:r>
            </w:hyperlink>
            <w:r>
              <w:rPr>
                <w:rFonts w:eastAsia="Calibri" w:ascii="Times New Roman" w:hAnsi="Times New Roman"/>
                <w:color w:val="111111"/>
                <w:kern w:val="2"/>
                <w:sz w:val="20"/>
                <w:szCs w:val="20"/>
              </w:rPr>
              <w:t xml:space="preserve"> ВПР: демоварианты, рекомендации 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0" w:right="0" w:firstLine="180"/>
              <w:jc w:val="both"/>
              <w:rPr/>
            </w:pPr>
            <w:r>
              <w:rPr>
                <w:rStyle w:val="Style16"/>
                <w:rFonts w:eastAsia="Calibri" w:ascii="Times New Roman" w:hAnsi="Times New Roman"/>
                <w:color w:val="111111"/>
                <w:kern w:val="2"/>
                <w:sz w:val="20"/>
                <w:szCs w:val="20"/>
                <w:u w:val="none"/>
              </w:rPr>
              <w:t xml:space="preserve">РИАЦОКО Владимирской области </w:t>
            </w:r>
            <w:hyperlink r:id="rId20">
              <w:r>
                <w:rPr>
                  <w:rFonts w:eastAsia="Calibri" w:ascii="Times New Roman" w:hAnsi="Times New Roman"/>
                  <w:color w:val="111111"/>
                  <w:kern w:val="2"/>
                  <w:sz w:val="20"/>
                  <w:szCs w:val="20"/>
                  <w:u w:val="none"/>
                </w:rPr>
                <w:t>https://riacoko33.ru/</w:t>
              </w:r>
            </w:hyperlink>
            <w:r>
              <w:rPr>
                <w:rStyle w:val="Style16"/>
                <w:rFonts w:eastAsia="Calibri" w:ascii="Times New Roman" w:hAnsi="Times New Roman"/>
                <w:color w:val="111111"/>
                <w:kern w:val="2"/>
                <w:sz w:val="20"/>
                <w:szCs w:val="20"/>
                <w:u w:val="none"/>
              </w:rPr>
              <w:t xml:space="preserve">  (ВПР: отчеты, рекомендации, демоварианты ...)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0" w:right="0" w:firstLine="180"/>
              <w:jc w:val="both"/>
              <w:rPr/>
            </w:pPr>
            <w:r>
              <w:rPr>
                <w:rStyle w:val="Style16"/>
                <w:rFonts w:eastAsia="Times New Roman" w:ascii="Times New Roman" w:hAnsi="Times New Roman"/>
                <w:b/>
                <w:bCs/>
                <w:color w:val="111111"/>
                <w:kern w:val="2"/>
                <w:sz w:val="20"/>
                <w:szCs w:val="20"/>
                <w:u w:val="none"/>
              </w:rPr>
              <w:t xml:space="preserve"> </w:t>
            </w:r>
            <w:r>
              <w:rPr>
                <w:rStyle w:val="Style16"/>
                <w:rFonts w:eastAsia="Calibri" w:ascii="Times New Roman" w:hAnsi="Times New Roman"/>
                <w:b/>
                <w:bCs/>
                <w:color w:val="111111"/>
                <w:kern w:val="2"/>
                <w:sz w:val="20"/>
                <w:szCs w:val="20"/>
                <w:u w:val="none"/>
              </w:rPr>
              <w:t xml:space="preserve">УЧИСЬ 33 </w:t>
            </w:r>
            <w:hyperlink r:id="rId21">
              <w:r>
                <w:rPr>
                  <w:rFonts w:eastAsia="Calibri" w:ascii="Times New Roman" w:hAnsi="Times New Roman"/>
                  <w:b/>
                  <w:bCs/>
                  <w:kern w:val="2"/>
                  <w:sz w:val="20"/>
                  <w:szCs w:val="20"/>
                </w:rPr>
                <w:t>https://uchis33.ru/</w:t>
              </w:r>
            </w:hyperlink>
            <w:r>
              <w:rPr>
                <w:rStyle w:val="Style16"/>
                <w:rFonts w:eastAsia="Calibri" w:ascii="Times New Roman" w:hAnsi="Times New Roman"/>
                <w:b/>
                <w:bCs/>
                <w:color w:val="111111"/>
                <w:kern w:val="2"/>
                <w:sz w:val="20"/>
                <w:szCs w:val="20"/>
                <w:u w:val="none"/>
              </w:rPr>
              <w:t xml:space="preserve"> - курсы  и консультации по подготовке к ЕГЭ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/>
              <w:ind w:left="0" w:right="0" w:hanging="0"/>
              <w:jc w:val="both"/>
              <w:rPr>
                <w:sz w:val="22"/>
                <w:szCs w:val="20"/>
                <w:highlight w:val="none"/>
                <w:shd w:fill="FFFF00" w:val="clear"/>
              </w:rPr>
            </w:pPr>
            <w:r>
              <w:rPr>
                <w:sz w:val="22"/>
                <w:szCs w:val="20"/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2"/>
      <w:type w:val="nextPage"/>
      <w:pgSz w:orient="landscape" w:w="16838" w:h="11906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bCs/>
        <w:sz w:val="24"/>
        <w:szCs w:val="24"/>
        <w:lang w:eastAsia="ru-RU"/>
      </w:rPr>
    </w:pPr>
    <w:r>
      <w:rPr>
        <w:rFonts w:eastAsia="Times New Roman" w:cs="Times New Roman" w:ascii="Times New Roman" w:hAnsi="Times New Roman"/>
        <w:b/>
        <w:bCs/>
        <w:sz w:val="24"/>
        <w:szCs w:val="24"/>
        <w:lang w:eastAsia="ru-RU"/>
      </w:rPr>
      <w:t>Рекомендации по организации методической работы в 2024-2025 учебном году.</w:t>
    </w:r>
  </w:p>
  <w:p>
    <w:pPr>
      <w:pStyle w:val="Normal"/>
      <w:spacing w:lineRule="auto" w:line="240" w:before="0" w:after="0"/>
      <w:jc w:val="center"/>
      <w:rPr>
        <w:b/>
        <w:b/>
        <w:bCs/>
      </w:rPr>
    </w:pPr>
    <w:r>
      <w:rPr>
        <w:rFonts w:eastAsia="Times New Roman" w:cs="Times New Roman" w:ascii="Times New Roman" w:hAnsi="Times New Roman"/>
        <w:b/>
        <w:bCs/>
        <w:sz w:val="24"/>
        <w:szCs w:val="24"/>
        <w:lang w:eastAsia="ru-RU"/>
      </w:rPr>
      <w:t xml:space="preserve">для учителей (преподавателей) русского языка и литературы </w:t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9"/>
    <w:next w:val="Style20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e8148b"/>
    <w:rPr/>
  </w:style>
  <w:style w:type="character" w:styleId="Style14" w:customStyle="1">
    <w:name w:val="Нижний колонтитул Знак"/>
    <w:basedOn w:val="DefaultParagraphFont"/>
    <w:uiPriority w:val="99"/>
    <w:qFormat/>
    <w:rsid w:val="00e8148b"/>
    <w:rPr/>
  </w:style>
  <w:style w:type="character" w:styleId="Style15" w:customStyle="1">
    <w:name w:val="Основной текст Знак"/>
    <w:basedOn w:val="DefaultParagraphFont"/>
    <w:qFormat/>
    <w:rsid w:val="001b452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uiPriority w:val="99"/>
    <w:unhideWhenUsed/>
    <w:rsid w:val="001b452d"/>
    <w:rPr>
      <w:color w:val="0000FF"/>
      <w:u w:val="single"/>
    </w:rPr>
  </w:style>
  <w:style w:type="character" w:styleId="Style17" w:customStyle="1">
    <w:name w:val="Текст сноски Знак"/>
    <w:basedOn w:val="DefaultParagraphFont"/>
    <w:qFormat/>
    <w:rsid w:val="00c34cd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d03835"/>
    <w:rPr>
      <w:color w:val="954F72" w:themeColor="followed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link w:val="Style15"/>
    <w:rsid w:val="001b452d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3"/>
    <w:uiPriority w:val="99"/>
    <w:unhideWhenUsed/>
    <w:rsid w:val="00e8148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4"/>
    <w:uiPriority w:val="99"/>
    <w:unhideWhenUsed/>
    <w:rsid w:val="00e8148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656ef"/>
    <w:pPr>
      <w:spacing w:before="0" w:after="160"/>
      <w:ind w:left="720" w:hanging="0"/>
      <w:contextualSpacing/>
    </w:pPr>
    <w:rPr/>
  </w:style>
  <w:style w:type="paragraph" w:styleId="Style27">
    <w:name w:val="Footnote Text"/>
    <w:basedOn w:val="Normal"/>
    <w:link w:val="Style17"/>
    <w:rsid w:val="00c34cd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814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cntd.ru/document/728265281" TargetMode="External"/><Relationship Id="rId3" Type="http://schemas.openxmlformats.org/officeDocument/2006/relationships/hyperlink" Target="https://clck.ru/34BJRu" TargetMode="External"/><Relationship Id="rId4" Type="http://schemas.openxmlformats.org/officeDocument/2006/relationships/hyperlink" Target="https://edsoo.ru/" TargetMode="External"/><Relationship Id="rId5" Type="http://schemas.openxmlformats.org/officeDocument/2006/relationships/hyperlink" Target="https://myschool.edu.ru/" TargetMode="External"/><Relationship Id="rId6" Type="http://schemas.openxmlformats.org/officeDocument/2006/relationships/hyperlink" Target="http://fgosreestr.ru/" TargetMode="External"/><Relationship Id="rId7" Type="http://schemas.openxmlformats.org/officeDocument/2006/relationships/hyperlink" Target="https://fipi.ru/otkrytyy-bank-zadani-chitatelskoi-gramotnosti" TargetMode="External"/><Relationship Id="rId8" Type="http://schemas.openxmlformats.org/officeDocument/2006/relationships/hyperlink" Target="https://fipi.ru/otkrytyy-bank-zadani-chitatelskoi-gramotnosti" TargetMode="External"/><Relationship Id="rId9" Type="http://schemas.openxmlformats.org/officeDocument/2006/relationships/hyperlink" Target="https://skiv1.instrao.ru/bank-zadaniy/" TargetMode="External"/><Relationship Id="rId10" Type="http://schemas.openxmlformats.org/officeDocument/2006/relationships/hyperlink" Target="https://xn--80agabe1dc.xn--33-6kcadhwnl3cfdx.xn--p1ai/" TargetMode="External"/><Relationship Id="rId11" Type="http://schemas.openxmlformats.org/officeDocument/2006/relationships/hyperlink" Target="https://daily.afisha.ru/culture/26027-6-novyh-knig-dlya-detey-i-roditeley/" TargetMode="External"/><Relationship Id="rId12" Type="http://schemas.openxmlformats.org/officeDocument/2006/relationships/hyperlink" Target="https://daily.afisha.ru/culture/26027-6-novyh-knig-dlya-detey-i-roditeley/" TargetMode="External"/><Relationship Id="rId13" Type="http://schemas.openxmlformats.org/officeDocument/2006/relationships/hyperlink" Target="https://bibliogid.ru/knigi/tematicheskie-obzory/17046-yarkie-knigi-dlya-podrostkov-za-2023-god-pyat-istorij-sovremennykh-avtorov" TargetMode="External"/><Relationship Id="rId14" Type="http://schemas.openxmlformats.org/officeDocument/2006/relationships/hyperlink" Target="http://www.rosolymp.ru/" TargetMode="External"/><Relationship Id="rId15" Type="http://schemas.openxmlformats.org/officeDocument/2006/relationships/hyperlink" Target="https://resh.edu.ru/" TargetMode="External"/><Relationship Id="rId16" Type="http://schemas.openxmlformats.org/officeDocument/2006/relationships/hyperlink" Target="https://help.foxford.ru/" TargetMode="External"/><Relationship Id="rId17" Type="http://schemas.openxmlformats.org/officeDocument/2006/relationships/hyperlink" Target="http://www.fipi.ru/" TargetMode="External"/><Relationship Id="rId18" Type="http://schemas.openxmlformats.org/officeDocument/2006/relationships/hyperlink" Target="https://my-exam.com/statgrad.html" TargetMode="External"/><Relationship Id="rId19" Type="http://schemas.openxmlformats.org/officeDocument/2006/relationships/hyperlink" Target="https://fioco.ru/ru/osoko" TargetMode="External"/><Relationship Id="rId20" Type="http://schemas.openxmlformats.org/officeDocument/2006/relationships/hyperlink" Target="https://riacoko33.ru/" TargetMode="External"/><Relationship Id="rId21" Type="http://schemas.openxmlformats.org/officeDocument/2006/relationships/hyperlink" Target="https://uchis33.ru/" TargetMode="External"/><Relationship Id="rId22" Type="http://schemas.openxmlformats.org/officeDocument/2006/relationships/header" Target="header1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2FE2-643B-416D-9995-A2255EB6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Application>LibreOffice/7.3.7.2$Linux_X86_64 LibreOffice_project/30$Build-2</Application>
  <AppVersion>15.0000</AppVersion>
  <Pages>7</Pages>
  <Words>1423</Words>
  <Characters>10386</Characters>
  <CharactersWithSpaces>11839</CharactersWithSpaces>
  <Paragraphs>103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2020-06-17T13:36:00Z</dcterms:created>
  <dc:creator>HP</dc:creator>
  <dc:description/>
  <dc:language>ru-RU</dc:language>
  <cp:lastModifiedBy/>
  <cp:lastPrinted>2024-05-22T16:34:03Z</cp:lastPrinted>
  <dcterms:modified xsi:type="dcterms:W3CDTF">2024-05-22T16:35:11Z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