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Рекомендации по организации методической работы в 2024-2025 учебном году</w:t>
      </w:r>
    </w:p>
    <w:p>
      <w:pPr>
        <w:pStyle w:val="Normal"/>
        <w:spacing w:lineRule="auto" w:line="36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с музыкальными руководителями ДОО </w:t>
      </w:r>
    </w:p>
    <w:tbl>
      <w:tblPr>
        <w:tblW w:w="16092" w:type="dxa"/>
        <w:jc w:val="left"/>
        <w:tblInd w:w="-11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39"/>
        <w:gridCol w:w="5830"/>
        <w:gridCol w:w="5623"/>
      </w:tblGrid>
      <w:tr>
        <w:trPr/>
        <w:tc>
          <w:tcPr>
            <w:tcW w:w="46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Проблема в профессиональной деятельности</w:t>
            </w:r>
          </w:p>
        </w:tc>
        <w:tc>
          <w:tcPr>
            <w:tcW w:w="583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Темы, рассматриваемые на курсах в ВИРО</w:t>
            </w:r>
          </w:p>
        </w:tc>
        <w:tc>
          <w:tcPr>
            <w:tcW w:w="56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Темы, предлагаемые для рассмотрения на МО</w:t>
            </w:r>
          </w:p>
        </w:tc>
      </w:tr>
      <w:tr>
        <w:trPr>
          <w:trHeight w:val="1802" w:hRule="atLeast"/>
        </w:trPr>
        <w:tc>
          <w:tcPr>
            <w:tcW w:w="46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>Недостаточная согласованность действий специалистов при осуществлении единого образовательного процесса а в условиях реализации ФГОС ДО и ФОП ДО</w:t>
            </w:r>
          </w:p>
        </w:tc>
        <w:tc>
          <w:tcPr>
            <w:tcW w:w="583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Федеральная образовательная программа дошкольного образования.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Технологии проектирования системы взаимодействия при организации музыкального развития детей дошкольного возраста в ДОО .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Алгорит</w:t>
            </w:r>
            <w:bookmarkStart w:id="0" w:name="_GoBack"/>
            <w:bookmarkEnd w:id="0"/>
            <w:r>
              <w:rPr>
                <w:color w:val="000000" w:themeColor="text1"/>
              </w:rPr>
              <w:t>м планирования образовательной деятельности в соответствии с ФГОС ДО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/>
              <w:t>Интеграция содержания дошкольного образования на основе проектной деятельности.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Комплексный подход к моделированию совместной деятельности всех субъектов образовательного процесса в ДОО.</w:t>
            </w:r>
          </w:p>
        </w:tc>
        <w:tc>
          <w:tcPr>
            <w:tcW w:w="56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00000" w:themeColor="text1"/>
              </w:rPr>
              <w:t xml:space="preserve">Опыт работы музыкального руководителя в условиях реализации </w:t>
            </w:r>
            <w:r>
              <w:rPr>
                <w:b/>
                <w:color w:val="000000" w:themeColor="text1"/>
              </w:rPr>
              <w:t>совместного планирования деятельности</w:t>
            </w:r>
            <w:r>
              <w:rPr>
                <w:color w:val="000000" w:themeColor="text1"/>
              </w:rPr>
              <w:t xml:space="preserve"> с воспитателем и другими специалистами  </w:t>
            </w:r>
            <w:r>
              <w:rPr>
                <w:b/>
                <w:color w:val="000000" w:themeColor="text1"/>
              </w:rPr>
              <w:t>на учебный год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00000" w:themeColor="text1"/>
              </w:rPr>
              <w:t xml:space="preserve">Взаимодействие музыкального руководителя и других субъектов образовательного процесса при разработке тематических проектов </w:t>
            </w:r>
            <w:r>
              <w:rPr>
                <w:i/>
                <w:color w:val="000000" w:themeColor="text1"/>
              </w:rPr>
              <w:t>(представление конкретного опыта работы)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color w:val="000000" w:themeColor="text1"/>
              </w:rPr>
              <w:t xml:space="preserve">Развитие дошкольника в музыкальной деятельности на основе репертуарного списка ФОП ДО 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1802" w:hRule="atLeast"/>
        </w:trPr>
        <w:tc>
          <w:tcPr>
            <w:tcW w:w="4639" w:type="dxa"/>
            <w:tcBorders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Недостаточная эффективность взаимодействия музыкального руководителя ДОО  с родителями детей дошкольного возраста в области музыкального развития.</w:t>
            </w:r>
          </w:p>
        </w:tc>
        <w:tc>
          <w:tcPr>
            <w:tcW w:w="5830" w:type="dxa"/>
            <w:tcBorders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t>Технологии взаимодействия с родителями и педагогами в области музыкального развития дошкольника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 выстроить систему взаимодействия музыкального руководителя с родителями на основе годового плана?</w:t>
            </w:r>
          </w:p>
        </w:tc>
        <w:tc>
          <w:tcPr>
            <w:tcW w:w="5623" w:type="dxa"/>
            <w:tcBorders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Опыт эффективного взаимодействия музыкального руководителя с родителями</w:t>
            </w:r>
          </w:p>
        </w:tc>
      </w:tr>
      <w:tr>
        <w:trPr>
          <w:trHeight w:val="1802" w:hRule="atLeast"/>
        </w:trPr>
        <w:tc>
          <w:tcPr>
            <w:tcW w:w="4639" w:type="dxa"/>
            <w:tcBorders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rFonts w:eastAsia="Calibri"/>
                <w:i/>
                <w:iCs/>
              </w:rPr>
              <w:t>Реализация системно  – деятельностного подхода в обучении и воспитании дошкольников.</w:t>
            </w:r>
          </w:p>
        </w:tc>
        <w:tc>
          <w:tcPr>
            <w:tcW w:w="5830" w:type="dxa"/>
            <w:tcBorders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Проектирование образовательной музыкальной деятельности детей дошкольного возраста на основе системно -деятельностного подхода</w:t>
            </w:r>
          </w:p>
        </w:tc>
        <w:tc>
          <w:tcPr>
            <w:tcW w:w="5623" w:type="dxa"/>
            <w:tcBorders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>
                <w:i w:val="false"/>
                <w:iCs w:val="false"/>
                <w:color w:val="000000" w:themeColor="text1"/>
              </w:rPr>
              <w:t>Развитие детской инициативы в отдельных видах музыкальной деятельности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00000" w:themeColor="text1"/>
              </w:rPr>
              <w:t xml:space="preserve">Опыт создания сквозной мотивации в рамках краткосрочных проектов по музыкальному модулю </w:t>
            </w:r>
            <w:r>
              <w:rPr>
                <w:i/>
                <w:color w:val="000000" w:themeColor="text1"/>
              </w:rPr>
              <w:t>(демонстрация в рамках проекта)</w:t>
            </w:r>
          </w:p>
        </w:tc>
      </w:tr>
      <w:tr>
        <w:trPr>
          <w:trHeight w:val="1802" w:hRule="atLeast"/>
        </w:trPr>
        <w:tc>
          <w:tcPr>
            <w:tcW w:w="4639" w:type="dxa"/>
            <w:tcBorders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i/>
                <w:iCs/>
              </w:rPr>
              <w:t>Особенности осуществления музыкальной деятельности детей с ОВЗ</w:t>
            </w:r>
          </w:p>
        </w:tc>
        <w:tc>
          <w:tcPr>
            <w:tcW w:w="5830" w:type="dxa"/>
            <w:tcBorders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  <w:t>Организация музыкальной деятельности детей с ОВЗ.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i w:val="false"/>
                <w:iCs w:val="false"/>
                <w:lang w:eastAsia="ru-RU"/>
              </w:rPr>
              <w:t>Специальные методы и приемы музыкального развития, направленные на коррекцию и компенсацию нарушений в развитии ребенка.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lang w:eastAsia="ru-RU"/>
              </w:rPr>
            </w:pPr>
            <w:r>
              <w:rPr>
                <w:rFonts w:eastAsia="Times New Roman" w:cs="Times New Roman"/>
                <w:i w:val="false"/>
                <w:iCs w:val="false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0" w:themeColor="text1"/>
                <w:lang w:eastAsia="ru-RU"/>
              </w:rPr>
              <w:t>Дополнительная профессиональная программа «Особенности музыкального развития детей с ОВЗ»</w:t>
            </w:r>
          </w:p>
        </w:tc>
        <w:tc>
          <w:tcPr>
            <w:tcW w:w="5623" w:type="dxa"/>
            <w:tcBorders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highlight w:val="none"/>
                <w:shd w:fill="FFFF00" w:val="clear"/>
              </w:rPr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опыта развития детей с ОВЗ в музыкальной деятельности (из практики муз. рук.)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Круглый стол «Проблемы и трудности организации музыкальной деятельности детей с ОВЗ»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Методика «Свирель Э. Смеловой» как эффективная технология  развития дошкольника с ОВЗ. </w:t>
            </w:r>
            <w:r>
              <w:rPr>
                <w:color w:val="000000" w:themeColor="text1"/>
              </w:rPr>
              <w:t xml:space="preserve"> (из опыта работы)</w:t>
            </w:r>
          </w:p>
        </w:tc>
      </w:tr>
      <w:tr>
        <w:trPr>
          <w:trHeight w:val="1199" w:hRule="atLeast"/>
        </w:trPr>
        <w:tc>
          <w:tcPr>
            <w:tcW w:w="4639" w:type="dxa"/>
            <w:tcBorders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lang w:eastAsia="ru-RU"/>
              </w:rPr>
              <w:t>Грамотность описания и представления педагогического опыта и образовательных практик</w:t>
            </w:r>
          </w:p>
        </w:tc>
        <w:tc>
          <w:tcPr>
            <w:tcW w:w="5830" w:type="dxa"/>
            <w:tcBorders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  <w:t xml:space="preserve">Представление педагогического опыта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  <w:t xml:space="preserve">и образовательных практик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  <w:t>в региональн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  <w:t>ую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  <w:t xml:space="preserve"> информационн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  <w:t xml:space="preserve">ую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  <w:t>систем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  <w:t>у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lang w:eastAsia="ru-RU"/>
              </w:rPr>
              <w:t>«БИПП»</w:t>
            </w:r>
          </w:p>
        </w:tc>
        <w:tc>
          <w:tcPr>
            <w:tcW w:w="5623" w:type="dxa"/>
            <w:tcBorders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Методическая мастерская  «Актуальность и новизна образовательных практик»</w:t>
            </w:r>
          </w:p>
        </w:tc>
      </w:tr>
      <w:tr>
        <w:trPr>
          <w:trHeight w:val="1117" w:hRule="atLeast"/>
        </w:trPr>
        <w:tc>
          <w:tcPr>
            <w:tcW w:w="463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i/>
                <w:i/>
                <w:iCs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Отсутствие в перечне ФОП ДО некоторых музыкальных произведений для обеспечения тематического планирования ДОО.</w:t>
            </w:r>
          </w:p>
          <w:p>
            <w:pPr>
              <w:pStyle w:val="Style19"/>
              <w:widowControl w:val="false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</w:r>
          </w:p>
        </w:tc>
        <w:tc>
          <w:tcPr>
            <w:tcW w:w="583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202122"/>
                <w:shd w:fill="E8F2FD" w:val="clear"/>
              </w:rPr>
            </w:pPr>
            <w:r>
              <w:rPr>
                <w:color w:val="000000" w:themeColor="text1"/>
                <w:shd w:fill="auto" w:val="clear"/>
              </w:rPr>
              <w:t>Организация работы творческой группы по выбору недостающего в ФОП музыкального содержания (мебель, посуда, семья, любовь к родному краю)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2"/>
                <w:szCs w:val="22"/>
                <w:highlight w:val="none"/>
                <w:shd w:fill="auto" w:val="clear"/>
              </w:rPr>
            </w:pPr>
            <w:r>
              <w:rPr>
                <w:color w:val="000000" w:themeColor="text1"/>
                <w:sz w:val="22"/>
                <w:szCs w:val="22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5623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both"/>
              <w:rPr/>
            </w:pPr>
            <w:r>
              <w:rPr/>
              <w:t>Создание творческой группы «Дополнение репертуара по ФОП»</w:t>
            </w:r>
          </w:p>
        </w:tc>
      </w:tr>
    </w:tbl>
    <w:p>
      <w:pPr>
        <w:pStyle w:val="Normal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tabs>
          <w:tab w:val="clear" w:pos="708"/>
          <w:tab w:val="left" w:pos="6730" w:leader="none"/>
        </w:tabs>
        <w:rPr>
          <w:color w:val="000000" w:themeColor="text1"/>
        </w:rPr>
      </w:pPr>
      <w:r>
        <w:rPr>
          <w:color w:val="000000" w:themeColor="text1"/>
        </w:rPr>
        <w:t xml:space="preserve">Исполнитель: О. Н. Куликова, методист кабинета искусства </w:t>
        <w:tab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Раб. Тел.36-68-80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запланированные конкурсы для музыкальных руководителей ДОО на 2024-25 уч.гг: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Музыкальный фестиваль «Воспитатели России» (весна 2025)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Конкурс «Пчелка» (весна 2025)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sectPr>
      <w:type w:val="nextPage"/>
      <w:pgSz w:orient="landscape" w:w="16838" w:h="11906"/>
      <w:pgMar w:left="567" w:right="73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333333"/>
      <w:kern w:val="0"/>
      <w:sz w:val="28"/>
      <w:szCs w:val="28"/>
      <w:lang w:val="ru-RU" w:eastAsia="zh-CN" w:bidi="ar-SA"/>
    </w:rPr>
  </w:style>
  <w:style w:type="paragraph" w:styleId="2">
    <w:name w:val="Heading 2"/>
    <w:basedOn w:val="Normal"/>
    <w:link w:val="21"/>
    <w:uiPriority w:val="9"/>
    <w:qFormat/>
    <w:rsid w:val="00a00059"/>
    <w:pPr>
      <w:spacing w:beforeAutospacing="1" w:afterAutospacing="1"/>
      <w:outlineLvl w:val="1"/>
    </w:pPr>
    <w:rPr>
      <w:b/>
      <w:bCs/>
      <w:color w:val="auto"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character" w:styleId="WW8Num2z0" w:customStyle="1">
    <w:name w:val="WW8Num2z0"/>
    <w:qFormat/>
    <w:rPr>
      <w:sz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b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Symbol" w:hAnsi="Symbol" w:cs="Symbol"/>
      <w:color w:val="000000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9z4" w:customStyle="1">
    <w:name w:val="WW8Num9z4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i w:val="false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-">
    <w:name w:val="Hyperlink"/>
    <w:basedOn w:val="DefaultParagraphFont"/>
    <w:uiPriority w:val="99"/>
    <w:unhideWhenUsed/>
    <w:rsid w:val="00835c03"/>
    <w:rPr>
      <w:color w:val="0000FF"/>
      <w:u w:val="single"/>
    </w:rPr>
  </w:style>
  <w:style w:type="character" w:styleId="Style13" w:customStyle="1">
    <w:name w:val="Выделение жирным"/>
    <w:qFormat/>
    <w:rPr>
      <w:b/>
      <w:bCs/>
    </w:rPr>
  </w:style>
  <w:style w:type="character" w:styleId="1" w:customStyle="1">
    <w:name w:val="Основной текст Знак1"/>
    <w:qFormat/>
    <w:rPr>
      <w:sz w:val="24"/>
      <w:szCs w:val="24"/>
    </w:rPr>
  </w:style>
  <w:style w:type="character" w:styleId="Style14" w:customStyle="1">
    <w:name w:val="Текст выноски Знак"/>
    <w:qFormat/>
    <w:rPr>
      <w:rFonts w:ascii="Tahoma" w:hAnsi="Tahoma" w:cs="Tahoma"/>
      <w:color w:val="333333"/>
      <w:sz w:val="16"/>
      <w:szCs w:val="16"/>
    </w:rPr>
  </w:style>
  <w:style w:type="character" w:styleId="Style15">
    <w:name w:val="Выделение"/>
    <w:qFormat/>
    <w:rPr>
      <w:i/>
      <w:iCs/>
    </w:rPr>
  </w:style>
  <w:style w:type="character" w:styleId="21" w:customStyle="1">
    <w:name w:val="Заголовок 2 Знак"/>
    <w:basedOn w:val="DefaultParagraphFont"/>
    <w:uiPriority w:val="9"/>
    <w:qFormat/>
    <w:rsid w:val="00a00059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styleId="Style16">
    <w:name w:val="FollowedHyperlink"/>
    <w:basedOn w:val="DefaultParagraphFont"/>
    <w:uiPriority w:val="99"/>
    <w:semiHidden/>
    <w:unhideWhenUsed/>
    <w:rsid w:val="002626a3"/>
    <w:rPr>
      <w:color w:val="800080" w:themeColor="followedHyperlink"/>
      <w:u w:val="single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 w:customStyle="1">
    <w:name w:val="Заголовок"/>
    <w:basedOn w:val="Normal"/>
    <w:next w:val="Style19"/>
    <w:qFormat/>
    <w:pPr>
      <w:jc w:val="center"/>
    </w:pPr>
    <w:rPr>
      <w:color w:val="000000"/>
    </w:rPr>
  </w:style>
  <w:style w:type="paragraph" w:styleId="Style19">
    <w:name w:val="Body Text"/>
    <w:basedOn w:val="Normal"/>
    <w:pPr>
      <w:jc w:val="both"/>
    </w:pPr>
    <w:rPr>
      <w:color w:val="000000"/>
      <w:sz w:val="24"/>
      <w:szCs w:val="24"/>
    </w:rPr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color w:val="000000"/>
      <w:sz w:val="20"/>
      <w:szCs w:val="20"/>
      <w:lang w:val="en-US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16FE-B9AB-41BC-8ECB-03340273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Application>LibreOffice/7.5.7.1$Linux_X86_64 LibreOffice_project/47eb0cf7efbacdee9b19ae25d6752381ede23126</Application>
  <AppVersion>15.0000</AppVersion>
  <Pages>3</Pages>
  <Words>407</Words>
  <Characters>3069</Characters>
  <CharactersWithSpaces>3437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2013-09-25T13:45:00Z</dcterms:created>
  <dc:creator>Лена</dc:creator>
  <dc:description/>
  <dc:language>en-US</dc:language>
  <cp:lastModifiedBy/>
  <cp:lastPrinted>2016-08-23T14:18:00Z</cp:lastPrinted>
  <dcterms:modified xsi:type="dcterms:W3CDTF">2024-04-27T14:05:38Z</dcterms:modified>
  <cp:revision>48</cp:revision>
  <dc:subject/>
  <dc:title>Рекомендации по организации методической работы в 2008-2009  учебном году с учителями математики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