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0B0" w14:textId="77777777" w:rsidR="00E57B67" w:rsidRPr="003662DA" w:rsidRDefault="00E57B67" w:rsidP="00E5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62DA">
        <w:rPr>
          <w:rFonts w:ascii="Times New Roman" w:eastAsia="Calibri" w:hAnsi="Times New Roman" w:cs="Times New Roman"/>
          <w:sz w:val="28"/>
          <w:szCs w:val="28"/>
          <w:u w:val="single"/>
        </w:rPr>
        <w:t>Образец оформления статьи</w:t>
      </w:r>
    </w:p>
    <w:p w14:paraId="31E163DC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478752212"/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Быстрова А.А., </w:t>
      </w:r>
    </w:p>
    <w:p w14:paraId="2EC0B32F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кафедра культурологии,</w:t>
      </w:r>
    </w:p>
    <w:p w14:paraId="31A6D7C2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Институт социально-гуманитарного образования, </w:t>
      </w:r>
    </w:p>
    <w:p w14:paraId="68B00477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ФГБОУ ВО «Московский педагогический </w:t>
      </w:r>
    </w:p>
    <w:p w14:paraId="43A84503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государственный университет»; </w:t>
      </w:r>
    </w:p>
    <w:p w14:paraId="296C60A1" w14:textId="77777777" w:rsidR="00E57B67" w:rsidRPr="003662DA" w:rsidRDefault="00E57B67" w:rsidP="00E57B67">
      <w:pPr>
        <w:spacing w:after="0" w:line="264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  <w:t>example</w:t>
      </w:r>
      <w:r w:rsidRPr="003662DA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@</w:t>
      </w:r>
      <w:r w:rsidRPr="003662DA"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  <w:t>mail</w:t>
      </w:r>
      <w:r w:rsidRPr="003662DA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.</w:t>
      </w:r>
      <w:proofErr w:type="spellStart"/>
      <w:r w:rsidRPr="003662DA"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  <w:t>ru</w:t>
      </w:r>
      <w:proofErr w:type="spellEnd"/>
    </w:p>
    <w:p w14:paraId="3DC3C07A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BBE6CF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Музейная коммуникация как способ трансляции культурного наследия</w:t>
      </w:r>
    </w:p>
    <w:p w14:paraId="5892488C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F60948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Аннотация: </w:t>
      </w:r>
      <w:r w:rsidRPr="003662D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анализируется понятие «музейная коммуникация», рассматриваются способы и формы трансляции культурного наследия в процессе музейной коммуникации.</w:t>
      </w:r>
    </w:p>
    <w:p w14:paraId="3FCF1AF9" w14:textId="77777777" w:rsidR="00E57B67" w:rsidRPr="003662DA" w:rsidRDefault="00E57B67" w:rsidP="00E57B6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Ключевые слова</w:t>
      </w:r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культурология; культурная память; культурное наследие; музей; музейная коммуникация</w:t>
      </w:r>
      <w:r w:rsidRPr="00366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4A9A34" w14:textId="77777777" w:rsidR="00E57B67" w:rsidRPr="003662DA" w:rsidRDefault="00E57B67" w:rsidP="00E57B67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A64E7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CDCB9C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Anastasya</w:t>
      </w:r>
      <w:proofErr w:type="spellEnd"/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Bystrova</w:t>
      </w:r>
      <w:proofErr w:type="spellEnd"/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</w:p>
    <w:p w14:paraId="4B08E368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Department of Culturology, </w:t>
      </w:r>
    </w:p>
    <w:p w14:paraId="2F08EE6A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Institute of Social and Humanitarian education,</w:t>
      </w:r>
    </w:p>
    <w:p w14:paraId="04AF25FD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Moscow Pedagogical State University;</w:t>
      </w:r>
    </w:p>
    <w:p w14:paraId="4E510758" w14:textId="77777777" w:rsidR="00E57B67" w:rsidRPr="003662DA" w:rsidRDefault="00E57B67" w:rsidP="00E57B67">
      <w:pPr>
        <w:spacing w:after="0" w:line="264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</w:pPr>
      <w:r w:rsidRPr="003662DA"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  <w:t>example@mail.ru</w:t>
      </w:r>
    </w:p>
    <w:p w14:paraId="159389CC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81A0DE1" w14:textId="77777777" w:rsidR="00E57B67" w:rsidRPr="003662DA" w:rsidRDefault="00E57B67" w:rsidP="00E57B6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A936878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Museum communication as a way of broadcasting of the cultural heritage</w:t>
      </w:r>
    </w:p>
    <w:p w14:paraId="041BCDD7" w14:textId="77777777" w:rsidR="00E57B67" w:rsidRPr="003662DA" w:rsidRDefault="00E57B67" w:rsidP="00E57B6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9B46987" w14:textId="77777777" w:rsidR="00E57B67" w:rsidRPr="003662DA" w:rsidRDefault="00E57B67" w:rsidP="00E57B6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Abstract: </w:t>
      </w:r>
      <w:r w:rsidRPr="00366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the author analyzes the concept of «museum communication», discusses the ways and forms of translation of cultural heritage in the process of museum communication.</w:t>
      </w:r>
    </w:p>
    <w:p w14:paraId="59413144" w14:textId="77777777" w:rsidR="00E57B67" w:rsidRPr="003662DA" w:rsidRDefault="00E57B67" w:rsidP="00E57B6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66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Keywords: </w:t>
      </w:r>
      <w:r w:rsidRPr="00366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culturology; cultural memory; cultural heritage; museum; museum communication.</w:t>
      </w:r>
    </w:p>
    <w:p w14:paraId="350BD3A6" w14:textId="77777777" w:rsidR="00E57B67" w:rsidRPr="003662DA" w:rsidRDefault="00E57B67" w:rsidP="00E57B6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21C347E5" w14:textId="77777777" w:rsidR="00E57B67" w:rsidRPr="003662DA" w:rsidRDefault="00E57B67" w:rsidP="00E57B6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sz w:val="28"/>
          <w:szCs w:val="28"/>
          <w:lang w:bidi="en-US"/>
        </w:rPr>
        <w:t>К исследованию проблемы коммуникации обращаются сегодня многие науки, в том числе и культурология. Необходимость исследования музейной коммуникации объясняется возросшим значением музея как социокультурного института и развитием музееведения.</w:t>
      </w:r>
      <w:r w:rsidRPr="003662DA"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  <w:t xml:space="preserve"> </w:t>
      </w:r>
    </w:p>
    <w:p w14:paraId="5BA9E5B2" w14:textId="77777777" w:rsidR="00E57B67" w:rsidRPr="003662DA" w:rsidRDefault="00E57B67" w:rsidP="00E57B6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Началом научного исследования коммуникации можно считать 1920–1930-е гг., когда Р. Хартли сформулировал основные положения теории информации. Можно выделить два подхода к изучению коммуникационных процессов: естественнонаучный и гуманитарный. Первый связан с именами </w:t>
      </w:r>
      <w:r w:rsidRPr="003662DA">
        <w:rPr>
          <w:rFonts w:ascii="Times New Roman" w:eastAsia="Calibri" w:hAnsi="Times New Roman" w:cs="Times New Roman"/>
          <w:sz w:val="28"/>
          <w:szCs w:val="28"/>
        </w:rPr>
        <w:lastRenderedPageBreak/>
        <w:t>К. Шеннона, Н. Винера, У.Р. Эшби, второй – с исследованиями К. 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Ховланда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, А. 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Ламсдейна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, Ф. Шеффилда [7, c. 246].</w:t>
      </w:r>
    </w:p>
    <w:p w14:paraId="1FDDBEC6" w14:textId="77777777" w:rsidR="00E57B67" w:rsidRPr="003662DA" w:rsidRDefault="00E57B67" w:rsidP="00E57B67">
      <w:pPr>
        <w:spacing w:after="0" w:line="264" w:lineRule="auto"/>
        <w:ind w:firstLine="709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  <w:t>&lt;...&gt;</w:t>
      </w:r>
    </w:p>
    <w:p w14:paraId="18EC74FE" w14:textId="77777777" w:rsidR="00E57B67" w:rsidRPr="003662DA" w:rsidRDefault="00E57B67" w:rsidP="00E57B67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9B8B5" wp14:editId="215FBA5E">
            <wp:extent cx="3164840" cy="1948180"/>
            <wp:effectExtent l="0" t="0" r="0" b="0"/>
            <wp:docPr id="1" name="Рисунок 1" descr="https://visic.info/wp-content/uploads/2015/05/flowchart1-332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sic.info/wp-content/uploads/2015/05/flowchart1-332x2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FD8E" w14:textId="77777777" w:rsidR="00E57B67" w:rsidRPr="003662DA" w:rsidRDefault="00E57B67" w:rsidP="00E57B67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eastAsia="x-none"/>
        </w:rPr>
        <w:t>Рис. 1.</w:t>
      </w:r>
      <w:r w:rsidRPr="003662DA"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  <w:t xml:space="preserve"> Образец блок-схемы</w:t>
      </w:r>
    </w:p>
    <w:p w14:paraId="381BFCCA" w14:textId="77777777" w:rsidR="00E57B67" w:rsidRPr="003662DA" w:rsidRDefault="00E57B67" w:rsidP="00E57B67">
      <w:pPr>
        <w:spacing w:after="0" w:line="264" w:lineRule="auto"/>
        <w:ind w:firstLine="709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  <w:t>&lt;...&gt;</w:t>
      </w:r>
    </w:p>
    <w:p w14:paraId="24BDA0CF" w14:textId="77777777" w:rsidR="00E57B67" w:rsidRPr="003662DA" w:rsidRDefault="00E57B67" w:rsidP="00E57B67">
      <w:pPr>
        <w:spacing w:after="0" w:line="264" w:lineRule="auto"/>
        <w:ind w:firstLine="709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</w:p>
    <w:p w14:paraId="19CEED5C" w14:textId="77777777" w:rsidR="00E57B67" w:rsidRPr="003662DA" w:rsidRDefault="00E57B67" w:rsidP="00E57B67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x-none"/>
        </w:rPr>
        <w:t>Таблица 1</w:t>
      </w:r>
    </w:p>
    <w:p w14:paraId="327492D4" w14:textId="77777777" w:rsidR="00E57B67" w:rsidRPr="003662DA" w:rsidRDefault="00E57B67" w:rsidP="00E57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x-none"/>
        </w:rPr>
      </w:pPr>
      <w:r w:rsidRPr="003662D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x-none"/>
        </w:rPr>
        <w:t>Заголовок располагается над таблицей по центру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1"/>
      </w:tblGrid>
      <w:tr w:rsidR="00E57B67" w:rsidRPr="003662DA" w14:paraId="452BC560" w14:textId="77777777" w:rsidTr="00B02669">
        <w:tc>
          <w:tcPr>
            <w:tcW w:w="999" w:type="pct"/>
            <w:shd w:val="clear" w:color="auto" w:fill="auto"/>
          </w:tcPr>
          <w:p w14:paraId="3D318F88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Заголовок</w:t>
            </w:r>
          </w:p>
        </w:tc>
        <w:tc>
          <w:tcPr>
            <w:tcW w:w="1000" w:type="pct"/>
            <w:shd w:val="clear" w:color="auto" w:fill="auto"/>
          </w:tcPr>
          <w:p w14:paraId="315C16F2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Заголовок</w:t>
            </w:r>
          </w:p>
        </w:tc>
        <w:tc>
          <w:tcPr>
            <w:tcW w:w="1000" w:type="pct"/>
            <w:shd w:val="clear" w:color="auto" w:fill="auto"/>
          </w:tcPr>
          <w:p w14:paraId="34E900C8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Заголовок</w:t>
            </w:r>
          </w:p>
        </w:tc>
        <w:tc>
          <w:tcPr>
            <w:tcW w:w="1000" w:type="pct"/>
            <w:shd w:val="clear" w:color="auto" w:fill="auto"/>
          </w:tcPr>
          <w:p w14:paraId="69CFBB57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Заголовок</w:t>
            </w:r>
          </w:p>
        </w:tc>
        <w:tc>
          <w:tcPr>
            <w:tcW w:w="1001" w:type="pct"/>
            <w:shd w:val="clear" w:color="auto" w:fill="auto"/>
          </w:tcPr>
          <w:p w14:paraId="6152EBC5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Заголовок</w:t>
            </w:r>
          </w:p>
        </w:tc>
      </w:tr>
      <w:tr w:rsidR="00E57B67" w:rsidRPr="003662DA" w14:paraId="7A5EEEC3" w14:textId="77777777" w:rsidTr="00B02669">
        <w:tc>
          <w:tcPr>
            <w:tcW w:w="999" w:type="pct"/>
            <w:shd w:val="clear" w:color="auto" w:fill="auto"/>
          </w:tcPr>
          <w:p w14:paraId="3B3FC16D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Информация</w:t>
            </w:r>
          </w:p>
        </w:tc>
        <w:tc>
          <w:tcPr>
            <w:tcW w:w="1000" w:type="pct"/>
            <w:shd w:val="clear" w:color="auto" w:fill="auto"/>
          </w:tcPr>
          <w:p w14:paraId="17EC4C5D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5F3A567D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5C14D6EB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14:paraId="2685E996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</w:tr>
      <w:tr w:rsidR="00E57B67" w:rsidRPr="003662DA" w14:paraId="4B0A7323" w14:textId="77777777" w:rsidTr="00B02669">
        <w:tc>
          <w:tcPr>
            <w:tcW w:w="999" w:type="pct"/>
            <w:shd w:val="clear" w:color="auto" w:fill="auto"/>
          </w:tcPr>
          <w:p w14:paraId="26FAB5CA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7B1CBF1A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18DC358B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52FEDAF4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14:paraId="1622AB18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</w:tr>
      <w:tr w:rsidR="00E57B67" w:rsidRPr="003662DA" w14:paraId="79CE0C33" w14:textId="77777777" w:rsidTr="00B02669">
        <w:tc>
          <w:tcPr>
            <w:tcW w:w="999" w:type="pct"/>
            <w:shd w:val="clear" w:color="auto" w:fill="auto"/>
          </w:tcPr>
          <w:p w14:paraId="6AEFE120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0F9C798C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00EF9926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0" w:type="pct"/>
            <w:shd w:val="clear" w:color="auto" w:fill="auto"/>
          </w:tcPr>
          <w:p w14:paraId="02D2FD82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14:paraId="73540844" w14:textId="77777777" w:rsidR="00E57B67" w:rsidRPr="003662DA" w:rsidRDefault="00E57B67" w:rsidP="00B02669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3662D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x-none"/>
              </w:rPr>
              <w:t>…</w:t>
            </w:r>
          </w:p>
        </w:tc>
      </w:tr>
    </w:tbl>
    <w:p w14:paraId="70B6FCFB" w14:textId="77777777" w:rsidR="00E57B67" w:rsidRPr="003662DA" w:rsidRDefault="00E57B67" w:rsidP="00E57B67">
      <w:pPr>
        <w:spacing w:after="0" w:line="264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</w:pPr>
    </w:p>
    <w:p w14:paraId="37141E26" w14:textId="77777777" w:rsidR="00E57B67" w:rsidRPr="003662DA" w:rsidRDefault="00E57B67" w:rsidP="00E57B67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Times New Roman" w:hAnsi="Times New Roman" w:cs="Times New Roman"/>
          <w:spacing w:val="6"/>
          <w:sz w:val="28"/>
          <w:szCs w:val="28"/>
          <w:lang w:eastAsia="x-none"/>
        </w:rPr>
        <w:t>&lt;...&gt;</w:t>
      </w:r>
    </w:p>
    <w:p w14:paraId="19D5601D" w14:textId="77777777" w:rsidR="00E57B67" w:rsidRPr="003662DA" w:rsidRDefault="00E57B67" w:rsidP="00E57B67">
      <w:pPr>
        <w:keepNext/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62DA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</w:t>
      </w:r>
    </w:p>
    <w:p w14:paraId="29D4F6E1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i/>
          <w:sz w:val="28"/>
          <w:szCs w:val="28"/>
        </w:rPr>
        <w:t>Гринько И.А.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Нарративы в музейном пространстве: новые практики // Томский журнал лингвистических и антропологических исследований. 2017. № 3 (17). С. 58–64. </w:t>
      </w:r>
    </w:p>
    <w:p w14:paraId="6A0FCE02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i/>
          <w:sz w:val="28"/>
          <w:szCs w:val="28"/>
        </w:rPr>
        <w:t>Лотман Ю.М.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Семиосфера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. СПб.: Искусство – СПБ, 2000. 704 с.</w:t>
      </w:r>
    </w:p>
    <w:p w14:paraId="7B5F0C5F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i/>
          <w:sz w:val="28"/>
          <w:szCs w:val="28"/>
        </w:rPr>
        <w:t>Лотман Ю.М.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Статьи по семиотике культуры и искусства. СПб.: Академический проект, 2002. 544 с.</w:t>
      </w:r>
    </w:p>
    <w:p w14:paraId="086A9D10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sz w:val="28"/>
          <w:szCs w:val="28"/>
        </w:rPr>
        <w:t>Музейное дело России / Под ред. М.Е. 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Каулен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, И.М. 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Коссовой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, А.А. 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Сундиевой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. М.: ВК, 2003. 616 с.</w:t>
      </w:r>
    </w:p>
    <w:p w14:paraId="7D182EB9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i/>
          <w:sz w:val="28"/>
          <w:szCs w:val="28"/>
        </w:rPr>
        <w:t>Пшеничная С.В.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«Музейный язык» и феномен музея // В диапазоне гуманитарного знания: Сборник к 80-летию проф. М.С. Кагана. СПб.: Санкт-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Петерб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>. Филос. об-во, 2001. URL: http://anthropology.ru/ru/text/pshenichnaya-sv/muzeynyy-yazyk-i-fenomen-muzeya (дата обращения: 22.03.2019).</w:t>
      </w:r>
    </w:p>
    <w:p w14:paraId="23C56D17" w14:textId="77777777" w:rsidR="00E57B67" w:rsidRPr="003662DA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DA">
        <w:rPr>
          <w:rFonts w:ascii="Times New Roman" w:eastAsia="Calibri" w:hAnsi="Times New Roman" w:cs="Times New Roman"/>
          <w:i/>
          <w:sz w:val="28"/>
          <w:szCs w:val="28"/>
        </w:rPr>
        <w:t>Самарина Н.Г.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Музейная коммуникация в контексте культурной памяти и культурного наследия // Вопросы </w:t>
      </w:r>
      <w:proofErr w:type="spellStart"/>
      <w:r w:rsidRPr="003662DA">
        <w:rPr>
          <w:rFonts w:ascii="Times New Roman" w:eastAsia="Calibri" w:hAnsi="Times New Roman" w:cs="Times New Roman"/>
          <w:sz w:val="28"/>
          <w:szCs w:val="28"/>
        </w:rPr>
        <w:t>музеологии</w:t>
      </w:r>
      <w:proofErr w:type="spellEnd"/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. 2013. № 2 (8). С. 45–55. </w:t>
      </w:r>
    </w:p>
    <w:p w14:paraId="77B80736" w14:textId="1443EEBD" w:rsidR="00966FCD" w:rsidRPr="00E57B67" w:rsidRDefault="00E57B67" w:rsidP="00E57B67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2DA">
        <w:rPr>
          <w:rFonts w:ascii="Times New Roman" w:eastAsia="Calibri" w:hAnsi="Times New Roman" w:cs="Times New Roman"/>
          <w:i/>
          <w:sz w:val="28"/>
          <w:szCs w:val="28"/>
        </w:rPr>
        <w:t>Сапанжа</w:t>
      </w:r>
      <w:proofErr w:type="spellEnd"/>
      <w:r w:rsidRPr="003662DA">
        <w:rPr>
          <w:rFonts w:ascii="Times New Roman" w:eastAsia="Calibri" w:hAnsi="Times New Roman" w:cs="Times New Roman"/>
          <w:i/>
          <w:sz w:val="28"/>
          <w:szCs w:val="28"/>
        </w:rPr>
        <w:t xml:space="preserve"> О.С.</w:t>
      </w:r>
      <w:r w:rsidRPr="003662DA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о музейной коммуникации // Известия РГПУ им. А.И. Герцена. 2009. № 103. С. 245–252.</w:t>
      </w:r>
      <w:bookmarkEnd w:id="0"/>
    </w:p>
    <w:sectPr w:rsidR="00966FCD" w:rsidRPr="00E5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3B1"/>
    <w:multiLevelType w:val="hybridMultilevel"/>
    <w:tmpl w:val="04D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8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7"/>
    <w:rsid w:val="00966FCD"/>
    <w:rsid w:val="00E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D8E"/>
  <w15:chartTrackingRefBased/>
  <w15:docId w15:val="{4CD6F60F-E6B7-4336-9FA6-F18FC63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2023-02-13T13:11:00Z</dcterms:created>
  <dcterms:modified xsi:type="dcterms:W3CDTF">2023-02-13T13:11:00Z</dcterms:modified>
</cp:coreProperties>
</file>